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02E75" w:rsidRDefault="00502E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6"/>
        <w:jc w:val="center"/>
      </w:pPr>
    </w:p>
    <w:p w14:paraId="00000002" w14:textId="77777777" w:rsidR="00502E75" w:rsidRDefault="00502E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6"/>
        <w:jc w:val="center"/>
      </w:pPr>
    </w:p>
    <w:p w14:paraId="00000003" w14:textId="77777777" w:rsidR="00502E75" w:rsidRDefault="00502E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6"/>
        <w:jc w:val="center"/>
      </w:pPr>
    </w:p>
    <w:p w14:paraId="00000004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6"/>
        <w:jc w:val="center"/>
        <w:rPr>
          <w:b/>
          <w:bCs/>
          <w:color w:val="646EAF"/>
          <w:sz w:val="28"/>
          <w:szCs w:val="28"/>
        </w:rPr>
      </w:pPr>
      <w:r>
        <w:rPr>
          <w:noProof/>
          <w:lang w:val="ru-RU"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page">
              <wp:posOffset>2096770</wp:posOffset>
            </wp:positionH>
            <wp:positionV relativeFrom="page">
              <wp:posOffset>369570</wp:posOffset>
            </wp:positionV>
            <wp:extent cx="1469628" cy="766763"/>
            <wp:effectExtent l="0" t="0" r="0" b="0"/>
            <wp:wrapNone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9628" cy="7667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ru-RU"/>
        </w:rPr>
        <w:drawing>
          <wp:anchor distT="0" distB="0" distL="0" distR="0" simplePos="0" relativeHeight="251659264" behindDoc="0" locked="0" layoutInCell="1" hidden="0" allowOverlap="1">
            <wp:simplePos x="0" y="0"/>
            <wp:positionH relativeFrom="page">
              <wp:posOffset>3906520</wp:posOffset>
            </wp:positionH>
            <wp:positionV relativeFrom="page">
              <wp:posOffset>369570</wp:posOffset>
            </wp:positionV>
            <wp:extent cx="1543050" cy="681070"/>
            <wp:effectExtent l="0" t="0" r="0" b="0"/>
            <wp:wrapNone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6810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  <w:bCs/>
          <w:color w:val="646EAF"/>
          <w:sz w:val="28"/>
          <w:szCs w:val="28"/>
        </w:rPr>
        <w:t xml:space="preserve">Положение о XVII Открытом грантовом конкурсе </w:t>
      </w:r>
    </w:p>
    <w:p w14:paraId="00000005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6"/>
        <w:jc w:val="center"/>
        <w:rPr>
          <w:b/>
          <w:bCs/>
          <w:color w:val="646EAF"/>
          <w:sz w:val="28"/>
          <w:szCs w:val="28"/>
        </w:rPr>
      </w:pPr>
      <w:r>
        <w:rPr>
          <w:b/>
          <w:bCs/>
          <w:color w:val="646EAF"/>
          <w:sz w:val="28"/>
          <w:szCs w:val="28"/>
        </w:rPr>
        <w:t>проектов программы «Музеи Русского Севера»</w:t>
      </w:r>
    </w:p>
    <w:p w14:paraId="00000006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1" w:line="228" w:lineRule="auto"/>
        <w:ind w:left="566" w:right="104"/>
        <w:jc w:val="both"/>
      </w:pPr>
      <w:r>
        <w:t>Настоящее Положение определяет порядок организации, проведения и определения победителей XVII Открытого грантового конкурса проектов Благотворительной программы «Музеи Русского Севера» (далее — Конкурс).</w:t>
      </w:r>
    </w:p>
    <w:p w14:paraId="00000007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566" w:right="123"/>
        <w:jc w:val="center"/>
        <w:rPr>
          <w:b/>
          <w:bCs/>
          <w:color w:val="646EAF"/>
        </w:rPr>
      </w:pPr>
      <w:r>
        <w:rPr>
          <w:b/>
          <w:bCs/>
          <w:color w:val="646EAF"/>
        </w:rPr>
        <w:t xml:space="preserve">1. Общие положения </w:t>
      </w:r>
    </w:p>
    <w:p w14:paraId="00000008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566"/>
      </w:pPr>
      <w:r>
        <w:t xml:space="preserve">Для целей настоящего Положения определяются следующие термины: </w:t>
      </w:r>
    </w:p>
    <w:p w14:paraId="00000009" w14:textId="77777777" w:rsidR="00502E75" w:rsidRDefault="009A2B1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92"/>
      </w:pPr>
      <w:r>
        <w:t xml:space="preserve">«Фонд» — Благотворительный фонд «Доброта Севера»; </w:t>
      </w:r>
    </w:p>
    <w:p w14:paraId="0000000A" w14:textId="77777777" w:rsidR="00502E75" w:rsidRDefault="009A2B1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92"/>
      </w:pPr>
      <w:r>
        <w:t xml:space="preserve">«Компания» — ПАО </w:t>
      </w:r>
      <w:sdt>
        <w:sdtPr>
          <w:tag w:val="goog_rdk_0"/>
          <w:id w:val="1298059986"/>
        </w:sdtPr>
        <w:sdtEndPr/>
        <w:sdtContent>
          <w:r>
            <w:t>«</w:t>
          </w:r>
        </w:sdtContent>
      </w:sdt>
      <w:r>
        <w:t>Северсталь</w:t>
      </w:r>
      <w:sdt>
        <w:sdtPr>
          <w:tag w:val="goog_rdk_1"/>
          <w:id w:val="1806331031"/>
        </w:sdtPr>
        <w:sdtEndPr/>
        <w:sdtContent>
          <w:r>
            <w:t>»</w:t>
          </w:r>
        </w:sdtContent>
      </w:sdt>
      <w:r>
        <w:t xml:space="preserve">; </w:t>
      </w:r>
    </w:p>
    <w:p w14:paraId="0000000B" w14:textId="77777777" w:rsidR="00502E75" w:rsidRDefault="009A2B1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92"/>
      </w:pPr>
      <w:r>
        <w:t xml:space="preserve">«Проектная команда» — Центр управления социальных инноваций GrantRafting. </w:t>
      </w:r>
    </w:p>
    <w:p w14:paraId="0000000C" w14:textId="5359B9EE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30" w:lineRule="auto"/>
        <w:ind w:left="566" w:right="100"/>
        <w:jc w:val="both"/>
      </w:pPr>
      <w:r>
        <w:t xml:space="preserve">Конкурс проводится Фондом в рамках реализации Благотворительной программы «Музеи Русского Севера» при </w:t>
      </w:r>
      <w:r>
        <w:rPr>
          <w:color w:val="000000"/>
        </w:rPr>
        <w:t xml:space="preserve">поддержке Компании, а также компаний-партнеров «Силовые машины», «Лента», </w:t>
      </w:r>
      <w:r>
        <w:rPr>
          <w:color w:val="000000"/>
          <w:highlight w:val="white"/>
        </w:rPr>
        <w:t xml:space="preserve">«Кордиант», </w:t>
      </w:r>
      <w:r>
        <w:rPr>
          <w:color w:val="000000"/>
        </w:rPr>
        <w:t>«Свеза» при участии Проектной команды.</w:t>
      </w:r>
    </w:p>
    <w:p w14:paraId="0000000D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0" w:line="229" w:lineRule="auto"/>
        <w:ind w:left="566" w:right="99"/>
        <w:jc w:val="both"/>
      </w:pPr>
      <w:r>
        <w:rPr>
          <w:b/>
          <w:bCs/>
          <w:color w:val="646EAF"/>
        </w:rPr>
        <w:t>Цель Конкурса:</w:t>
      </w:r>
      <w:r>
        <w:rPr>
          <w:b/>
          <w:bCs/>
        </w:rPr>
        <w:t xml:space="preserve"> </w:t>
      </w:r>
      <w:r>
        <w:t>создание условий для возрастания социокультурной роли музеев Русского Севера в развитии территорий и местных сообществ через укрепление культурной идентичности и поддержку новых форм и направлений музейной работы.</w:t>
      </w:r>
    </w:p>
    <w:p w14:paraId="0000000E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0" w:line="229" w:lineRule="auto"/>
        <w:ind w:left="566" w:right="99"/>
        <w:jc w:val="both"/>
        <w:rPr>
          <w:b/>
          <w:bCs/>
          <w:color w:val="646EAF"/>
        </w:rPr>
      </w:pPr>
      <w:r>
        <w:rPr>
          <w:b/>
          <w:bCs/>
          <w:color w:val="646EAF"/>
        </w:rPr>
        <w:t xml:space="preserve">Задачи Конкурса: </w:t>
      </w:r>
    </w:p>
    <w:p w14:paraId="0000000F" w14:textId="77777777" w:rsidR="00502E75" w:rsidRDefault="009A2B1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30" w:lineRule="auto"/>
        <w:ind w:left="992" w:right="20" w:hanging="425"/>
        <w:jc w:val="both"/>
      </w:pPr>
      <w:r>
        <w:t>выявить и поддержать лучшие музейные проекты, способствующие улучшению социального самочувствия, укреплению культурной идентичности и вовлечению местных сообществ в систему музейной деятельности;</w:t>
      </w:r>
    </w:p>
    <w:p w14:paraId="00000010" w14:textId="77777777" w:rsidR="00502E75" w:rsidRDefault="009A2B1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30" w:lineRule="auto"/>
        <w:ind w:left="992" w:right="20" w:hanging="425"/>
        <w:jc w:val="both"/>
      </w:pPr>
      <w:r>
        <w:t>повысить мотивацию музейных сотрудников к поиску новых форм работы с музейными коллекциями и разработку актуальных просветительских и образовательных продуктов на основе локального наследия;</w:t>
      </w:r>
    </w:p>
    <w:p w14:paraId="00000011" w14:textId="77777777" w:rsidR="00502E75" w:rsidRDefault="009A2B1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30" w:lineRule="auto"/>
        <w:ind w:left="992" w:right="20" w:hanging="425"/>
        <w:jc w:val="both"/>
      </w:pPr>
      <w:r>
        <w:t xml:space="preserve">обеспечить экспертную поддержку грантополучателей и способствовать укреплению горизонтальных связей музейного сообщества. </w:t>
      </w:r>
    </w:p>
    <w:p w14:paraId="00000012" w14:textId="77777777" w:rsidR="00502E75" w:rsidRDefault="00502E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566" w:right="20"/>
      </w:pPr>
    </w:p>
    <w:p w14:paraId="00000013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566" w:right="20"/>
        <w:rPr>
          <w:b/>
          <w:bCs/>
          <w:color w:val="646EAF"/>
        </w:rPr>
      </w:pPr>
      <w:r>
        <w:rPr>
          <w:b/>
          <w:bCs/>
          <w:color w:val="646EAF"/>
        </w:rPr>
        <w:t>Приоритеты Конкурса 2026:</w:t>
      </w:r>
    </w:p>
    <w:p w14:paraId="00000014" w14:textId="77777777" w:rsidR="00502E75" w:rsidRDefault="009A2B1C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30" w:lineRule="auto"/>
        <w:ind w:left="992" w:right="20" w:hanging="425"/>
        <w:jc w:val="both"/>
      </w:pPr>
      <w:r>
        <w:rPr>
          <w:color w:val="000000"/>
        </w:rPr>
        <w:t>освоение и актуализация нематериального и творческого наследия территорий Русского Севера, поиск новых способов трансляции и продвижения традиционной культуры в пространстве современности, сохранение исторической памяти;</w:t>
      </w:r>
    </w:p>
    <w:p w14:paraId="00000015" w14:textId="77777777" w:rsidR="00502E75" w:rsidRDefault="009A2B1C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30" w:lineRule="auto"/>
        <w:ind w:left="992" w:right="20" w:hanging="425"/>
        <w:jc w:val="both"/>
      </w:pPr>
      <w:r>
        <w:rPr>
          <w:color w:val="000000"/>
        </w:rPr>
        <w:t>расширение социальных практик музеев и развитие локальных сообществ, работа с сегментированными целевыми группами, в том числе с детьми, семьями, подростками, молодежью, представителями «серебряного возраста», социально уязвимыми группами и др.;</w:t>
      </w:r>
    </w:p>
    <w:p w14:paraId="00000016" w14:textId="77777777" w:rsidR="00502E75" w:rsidRDefault="009A2B1C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30" w:lineRule="auto"/>
        <w:ind w:left="992" w:right="20" w:hanging="425"/>
        <w:jc w:val="both"/>
      </w:pPr>
      <w:r>
        <w:rPr>
          <w:color w:val="000000"/>
        </w:rPr>
        <w:t>вовлечение местного населения в деятельность музеев и улучшение качества жизни территорий;</w:t>
      </w:r>
    </w:p>
    <w:p w14:paraId="00000017" w14:textId="77777777" w:rsidR="00502E75" w:rsidRDefault="009A2B1C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30" w:lineRule="auto"/>
        <w:ind w:left="992" w:right="20" w:hanging="425"/>
        <w:jc w:val="both"/>
      </w:pPr>
      <w:r>
        <w:rPr>
          <w:color w:val="000000"/>
        </w:rPr>
        <w:t>развитие познавательного туризма и возрастание туристической активности регионов Русского Севера;</w:t>
      </w:r>
    </w:p>
    <w:p w14:paraId="00000018" w14:textId="77777777" w:rsidR="00502E75" w:rsidRDefault="009A2B1C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30" w:lineRule="auto"/>
        <w:ind w:left="992" w:right="20" w:hanging="425"/>
        <w:jc w:val="both"/>
      </w:pPr>
      <w:r>
        <w:rPr>
          <w:color w:val="000000"/>
        </w:rPr>
        <w:t>поиск новых исследовательских форм развития локального культурного наследия, включая взаимодействие с научными и исследовательскими институциями;</w:t>
      </w:r>
    </w:p>
    <w:p w14:paraId="00000019" w14:textId="77777777" w:rsidR="00502E75" w:rsidRDefault="009A2B1C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30" w:lineRule="auto"/>
        <w:ind w:left="992" w:right="20" w:hanging="425"/>
        <w:jc w:val="both"/>
      </w:pPr>
      <w:r>
        <w:rPr>
          <w:color w:val="000000"/>
        </w:rPr>
        <w:t>использование цифровых решений для повышения качества работы.</w:t>
      </w:r>
    </w:p>
    <w:p w14:paraId="0000001A" w14:textId="77777777" w:rsidR="00502E75" w:rsidRDefault="009A2B1C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30" w:lineRule="auto"/>
        <w:ind w:left="992" w:right="20" w:hanging="425"/>
        <w:jc w:val="both"/>
      </w:pPr>
      <w:r>
        <w:rPr>
          <w:color w:val="000000"/>
        </w:rPr>
        <w:t>развитие и расширение межмузейного партнерства.</w:t>
      </w:r>
    </w:p>
    <w:p w14:paraId="0000001B" w14:textId="77777777" w:rsidR="00502E75" w:rsidRDefault="00502E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566" w:right="20"/>
        <w:jc w:val="both"/>
      </w:pPr>
    </w:p>
    <w:p w14:paraId="0000001C" w14:textId="77777777" w:rsidR="00502E75" w:rsidRDefault="00502E75">
      <w:pPr>
        <w:widowControl w:val="0"/>
        <w:spacing w:line="230" w:lineRule="auto"/>
        <w:ind w:left="566" w:right="20"/>
        <w:jc w:val="both"/>
      </w:pPr>
    </w:p>
    <w:p w14:paraId="0000001D" w14:textId="77777777" w:rsidR="00502E75" w:rsidRDefault="00502E75">
      <w:pPr>
        <w:tabs>
          <w:tab w:val="left" w:pos="1701"/>
        </w:tabs>
        <w:spacing w:before="120" w:line="240" w:lineRule="auto"/>
        <w:ind w:left="566"/>
        <w:jc w:val="both"/>
        <w:rPr>
          <w:b/>
          <w:bCs/>
        </w:rPr>
      </w:pPr>
    </w:p>
    <w:p w14:paraId="0000001E" w14:textId="55A8CAC2" w:rsidR="00502E75" w:rsidRDefault="009A2B1C">
      <w:pPr>
        <w:tabs>
          <w:tab w:val="left" w:pos="1701"/>
        </w:tabs>
        <w:spacing w:before="120" w:line="240" w:lineRule="auto"/>
        <w:ind w:left="566"/>
        <w:rPr>
          <w:color w:val="000000"/>
        </w:rPr>
      </w:pPr>
      <w:r>
        <w:rPr>
          <w:b/>
          <w:bCs/>
          <w:color w:val="646EAF"/>
        </w:rPr>
        <w:lastRenderedPageBreak/>
        <w:t>График проведения</w:t>
      </w:r>
      <w:r>
        <w:rPr>
          <w:color w:val="646EAF"/>
        </w:rPr>
        <w:t xml:space="preserve"> </w:t>
      </w:r>
      <w:r>
        <w:rPr>
          <w:b/>
          <w:bCs/>
          <w:color w:val="646EAF"/>
        </w:rPr>
        <w:t>Конкурса</w:t>
      </w:r>
      <w:r>
        <w:rPr>
          <w:color w:val="000000"/>
        </w:rPr>
        <w:t xml:space="preserve"> утверждается Фондом и публикуется на странице онлайн-платформы Конкурса </w:t>
      </w:r>
      <w:sdt>
        <w:sdtPr>
          <w:tag w:val="goog_rdk_3"/>
          <w:id w:val="-1065701604"/>
        </w:sdtPr>
        <w:sdtEndPr/>
        <w:sdtContent/>
      </w:sdt>
      <w:r>
        <w:rPr>
          <w:color w:val="000000"/>
        </w:rPr>
        <w:t>(</w:t>
      </w:r>
      <w:r w:rsidR="00E26448" w:rsidRPr="00E26448">
        <w:t>https://grant.severstal.com/contests/muzei-russkogo-severa-2026/</w:t>
      </w:r>
      <w:r>
        <w:rPr>
          <w:color w:val="000000"/>
        </w:rPr>
        <w:t>) (далее — «Платформа»)</w:t>
      </w:r>
    </w:p>
    <w:p w14:paraId="0000001F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4" w:line="240" w:lineRule="auto"/>
        <w:ind w:left="566" w:right="-18"/>
        <w:jc w:val="center"/>
        <w:rPr>
          <w:b/>
          <w:bCs/>
          <w:color w:val="646EAF"/>
        </w:rPr>
      </w:pPr>
      <w:r>
        <w:rPr>
          <w:b/>
          <w:bCs/>
          <w:color w:val="646EAF"/>
        </w:rPr>
        <w:t xml:space="preserve">2. Организация Конкурса </w:t>
      </w:r>
    </w:p>
    <w:p w14:paraId="00000020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6" w:line="240" w:lineRule="auto"/>
        <w:ind w:left="566"/>
      </w:pPr>
      <w:r>
        <w:t xml:space="preserve">К компетенции Фонда и Компании относится: </w:t>
      </w:r>
    </w:p>
    <w:p w14:paraId="00000021" w14:textId="77777777" w:rsidR="00502E75" w:rsidRDefault="009A2B1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92"/>
        <w:jc w:val="both"/>
      </w:pPr>
      <w:r>
        <w:t xml:space="preserve">финансирование Конкурса; </w:t>
      </w:r>
    </w:p>
    <w:p w14:paraId="00000022" w14:textId="77777777" w:rsidR="00502E75" w:rsidRDefault="009A2B1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30" w:lineRule="auto"/>
        <w:ind w:left="992" w:right="180"/>
        <w:jc w:val="both"/>
      </w:pPr>
      <w:r>
        <w:t>общая координация деятельности Проектной команды, направленная на организацию и проведение Конкурса;</w:t>
      </w:r>
    </w:p>
    <w:p w14:paraId="00000023" w14:textId="77777777" w:rsidR="00502E75" w:rsidRDefault="009A2B1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92"/>
        <w:jc w:val="both"/>
      </w:pPr>
      <w:r>
        <w:t xml:space="preserve">формирование Экспертного совета Конкурса; </w:t>
      </w:r>
    </w:p>
    <w:p w14:paraId="00000024" w14:textId="77777777" w:rsidR="00502E75" w:rsidRDefault="009A2B1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92"/>
        <w:jc w:val="both"/>
      </w:pPr>
      <w:r>
        <w:t xml:space="preserve">формирование Наблюдательного совета Конкурса. </w:t>
      </w:r>
    </w:p>
    <w:p w14:paraId="00000025" w14:textId="77777777" w:rsidR="00502E75" w:rsidRDefault="009A2B1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92"/>
        <w:jc w:val="both"/>
      </w:pPr>
      <w:r>
        <w:t xml:space="preserve">организация выплаты грантов победителям Конкурса. Под «грантом» для целей настоящего Положения понимаются денежные средства, предоставляемые на основе договоров пожертвования победителям Конкурса в соответствии с условиями настоящего Положения; </w:t>
      </w:r>
    </w:p>
    <w:p w14:paraId="00000026" w14:textId="77777777" w:rsidR="00502E75" w:rsidRDefault="009A2B1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92"/>
        <w:jc w:val="both"/>
      </w:pPr>
      <w:r>
        <w:t>сбор, анализ и утверждение отчетов победителей Конкурса по итогам реализации проектов.</w:t>
      </w:r>
    </w:p>
    <w:p w14:paraId="00000027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line="240" w:lineRule="auto"/>
        <w:ind w:left="566"/>
      </w:pPr>
      <w:r>
        <w:t xml:space="preserve">К компетенции Проектной команды относится:  </w:t>
      </w:r>
    </w:p>
    <w:p w14:paraId="00000028" w14:textId="77777777" w:rsidR="00502E75" w:rsidRDefault="009A2B1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92"/>
        <w:jc w:val="both"/>
      </w:pPr>
      <w:r>
        <w:t xml:space="preserve">формирование конкурсной документации; </w:t>
      </w:r>
    </w:p>
    <w:p w14:paraId="00000029" w14:textId="77777777" w:rsidR="00502E75" w:rsidRDefault="009A2B1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30" w:lineRule="auto"/>
        <w:ind w:left="992" w:right="103"/>
        <w:jc w:val="both"/>
      </w:pPr>
      <w:r>
        <w:t xml:space="preserve">в сроки и в порядке, определенные настоящим Положением, размещение объявления о Конкурсе; </w:t>
      </w:r>
    </w:p>
    <w:p w14:paraId="0000002A" w14:textId="77777777" w:rsidR="00502E75" w:rsidRDefault="009A2B1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30" w:lineRule="auto"/>
        <w:ind w:left="992" w:right="103"/>
        <w:jc w:val="both"/>
      </w:pPr>
      <w:r>
        <w:t xml:space="preserve">распространение информации о проведении Конкурса среди его потенциальных участников; </w:t>
      </w:r>
    </w:p>
    <w:p w14:paraId="0000002B" w14:textId="77777777" w:rsidR="00502E75" w:rsidRDefault="009A2B1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39" w:lineRule="auto"/>
        <w:ind w:left="992" w:right="103"/>
        <w:jc w:val="both"/>
      </w:pPr>
      <w:r>
        <w:t>консультирование потенциальных участников Конкурса по подготовке заявки;</w:t>
      </w:r>
    </w:p>
    <w:p w14:paraId="0000002C" w14:textId="77777777" w:rsidR="00502E75" w:rsidRDefault="009A2B1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39" w:lineRule="auto"/>
        <w:ind w:left="992" w:right="103"/>
        <w:jc w:val="both"/>
      </w:pPr>
      <w:r>
        <w:t>прием заявок на Конкурс, проверка их на соответствие условиям Конкурса;</w:t>
      </w:r>
    </w:p>
    <w:p w14:paraId="0000002D" w14:textId="77777777" w:rsidR="00502E75" w:rsidRDefault="009A2B1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39" w:lineRule="auto"/>
        <w:ind w:left="992" w:right="103"/>
        <w:jc w:val="both"/>
      </w:pPr>
      <w:r>
        <w:t xml:space="preserve">организация работы Экспертного совета и Наблюдательного совета Конкурса по согласованию с Фондом и Компанией, участие в их заседаниях без права голоса. </w:t>
      </w:r>
    </w:p>
    <w:p w14:paraId="0000002E" w14:textId="77777777" w:rsidR="00502E75" w:rsidRDefault="00502E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ind w:right="103"/>
        <w:jc w:val="center"/>
        <w:rPr>
          <w:b/>
          <w:bCs/>
          <w:color w:val="646EAF"/>
        </w:rPr>
      </w:pPr>
    </w:p>
    <w:p w14:paraId="0000002F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ind w:right="103"/>
        <w:jc w:val="center"/>
        <w:rPr>
          <w:b/>
          <w:bCs/>
          <w:color w:val="646EAF"/>
        </w:rPr>
      </w:pPr>
      <w:r>
        <w:rPr>
          <w:b/>
          <w:bCs/>
          <w:color w:val="646EAF"/>
        </w:rPr>
        <w:t xml:space="preserve">3. Участники Конкурса </w:t>
      </w:r>
    </w:p>
    <w:p w14:paraId="00000030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29" w:lineRule="auto"/>
        <w:ind w:left="566" w:right="20"/>
        <w:jc w:val="both"/>
      </w:pPr>
      <w:r>
        <w:t xml:space="preserve">В Конкурсе могут принимать участие государственные и муниципальные музеи и галереи художественного профиля, а также музеи иных профильных групп, обладающие художественными собраниями, расположенные в Республике Карелия, Республике Коми, Пермском крае, Архангельской, Вологодской, Кировской, Костромской, Ленинградской, Мурманской, Новгородской, Псковской областях, Ненецком автономном округе. </w:t>
      </w:r>
    </w:p>
    <w:p w14:paraId="00000031" w14:textId="77777777" w:rsidR="00502E75" w:rsidRDefault="00502E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30" w:lineRule="auto"/>
        <w:ind w:left="566" w:right="20"/>
        <w:jc w:val="both"/>
      </w:pPr>
    </w:p>
    <w:p w14:paraId="00000032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30" w:lineRule="auto"/>
        <w:ind w:left="566" w:right="20"/>
        <w:jc w:val="both"/>
      </w:pPr>
      <w:r>
        <w:t xml:space="preserve">Для целей настоящего Положения «художественное собрание» определяется как музейная коллекция произведений изобразительного и декоративно-прикладного искусства, имеющая историко-художественную ценность. </w:t>
      </w:r>
    </w:p>
    <w:p w14:paraId="00000033" w14:textId="5965FCF3" w:rsidR="00502E75" w:rsidRDefault="006F305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0" w:line="228" w:lineRule="auto"/>
        <w:ind w:left="566" w:right="20"/>
        <w:jc w:val="both"/>
      </w:pPr>
      <w:sdt>
        <w:sdtPr>
          <w:tag w:val="goog_rdk_4"/>
          <w:id w:val="1327478931"/>
        </w:sdtPr>
        <w:sdtEndPr/>
        <w:sdtContent/>
      </w:sdt>
      <w:sdt>
        <w:sdtPr>
          <w:tag w:val="goog_rdk_5"/>
          <w:id w:val="-479796265"/>
        </w:sdtPr>
        <w:sdtEndPr/>
        <w:sdtContent/>
      </w:sdt>
      <w:r w:rsidR="009A2B1C">
        <w:t xml:space="preserve">Каждая организация, участвующая в Конкурсе, вправе подать не более </w:t>
      </w:r>
      <w:r w:rsidR="00E26448">
        <w:rPr>
          <w:lang w:val="ru-RU"/>
        </w:rPr>
        <w:t>двух</w:t>
      </w:r>
      <w:r w:rsidR="009A2B1C">
        <w:t xml:space="preserve"> заяв</w:t>
      </w:r>
      <w:r w:rsidR="00E26448">
        <w:rPr>
          <w:lang w:val="ru-RU"/>
        </w:rPr>
        <w:t>ок</w:t>
      </w:r>
      <w:r w:rsidR="009A2B1C">
        <w:t xml:space="preserve">.  </w:t>
      </w:r>
      <w:r w:rsidR="009A2B1C">
        <w:rPr>
          <w:highlight w:val="white"/>
        </w:rPr>
        <w:t xml:space="preserve">Музеи, имеющие в своем составе </w:t>
      </w:r>
      <w:r w:rsidR="009A2B1C">
        <w:t xml:space="preserve">обособленные структурные подразделения (в том числе музейные объединения), вправе подавать не более одной заявки от каждого структурного подразделения. </w:t>
      </w:r>
      <w:r w:rsidR="009A2B1C">
        <w:br/>
      </w:r>
    </w:p>
    <w:p w14:paraId="00000034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566"/>
      </w:pPr>
      <w:r>
        <w:rPr>
          <w:u w:val="single"/>
        </w:rPr>
        <w:t>В Конкурсе не могут принимать участие:</w:t>
      </w:r>
      <w:r>
        <w:t xml:space="preserve"> </w:t>
      </w:r>
    </w:p>
    <w:p w14:paraId="00000035" w14:textId="77777777" w:rsidR="00502E75" w:rsidRDefault="009A2B1C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30" w:lineRule="auto"/>
        <w:ind w:left="992" w:right="655"/>
      </w:pPr>
      <w:r>
        <w:t xml:space="preserve">частные, ведомственные (в т.ч. университетские, школьные) и корпоративные музеи; </w:t>
      </w:r>
    </w:p>
    <w:p w14:paraId="00000036" w14:textId="77777777" w:rsidR="00502E75" w:rsidRDefault="009A2B1C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30" w:lineRule="auto"/>
        <w:ind w:left="992" w:right="1780"/>
      </w:pPr>
      <w:r>
        <w:t xml:space="preserve">органы государственной власти, органы местного самоуправления; </w:t>
      </w:r>
    </w:p>
    <w:p w14:paraId="00000037" w14:textId="77777777" w:rsidR="00502E75" w:rsidRDefault="009A2B1C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30" w:lineRule="auto"/>
        <w:ind w:left="992" w:right="1780"/>
      </w:pPr>
      <w:r>
        <w:t xml:space="preserve">коммерческие организации; </w:t>
      </w:r>
    </w:p>
    <w:p w14:paraId="00000038" w14:textId="77777777" w:rsidR="00502E75" w:rsidRDefault="009A2B1C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92"/>
      </w:pPr>
      <w:r>
        <w:t xml:space="preserve">профсоюзные организации; </w:t>
      </w:r>
    </w:p>
    <w:p w14:paraId="00000039" w14:textId="77777777" w:rsidR="00502E75" w:rsidRDefault="009A2B1C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92"/>
      </w:pPr>
      <w:r>
        <w:t xml:space="preserve">физические лица; </w:t>
      </w:r>
    </w:p>
    <w:p w14:paraId="0000003A" w14:textId="77777777" w:rsidR="00502E75" w:rsidRDefault="009A2B1C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92"/>
      </w:pPr>
      <w:r>
        <w:t>индивидуальные предприниматели.</w:t>
      </w:r>
    </w:p>
    <w:p w14:paraId="0000003B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0" w:line="240" w:lineRule="auto"/>
        <w:ind w:left="566" w:right="-18"/>
        <w:jc w:val="center"/>
        <w:rPr>
          <w:b/>
          <w:bCs/>
          <w:color w:val="646EAF"/>
        </w:rPr>
      </w:pPr>
      <w:r>
        <w:rPr>
          <w:b/>
          <w:bCs/>
          <w:color w:val="646EAF"/>
        </w:rPr>
        <w:lastRenderedPageBreak/>
        <w:t xml:space="preserve">4. Экспертный совет и Наблюдательный совет Конкурса </w:t>
      </w:r>
    </w:p>
    <w:p w14:paraId="0000003C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7" w:line="228" w:lineRule="auto"/>
        <w:ind w:left="566" w:right="20"/>
        <w:jc w:val="both"/>
      </w:pPr>
      <w:r>
        <w:t xml:space="preserve">Экспертный совет Конкурса формируется Фондом из специалистов историко- культурной и научно-исследовательских областей, представителей профильных государственных и муниципальных учреждений, экспертного сообщества некоммерческих организаций, бизнеса, специалистов туристической индустрии и IT-отрасли.  </w:t>
      </w:r>
    </w:p>
    <w:p w14:paraId="0000003D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566" w:right="20"/>
      </w:pPr>
      <w:r>
        <w:t xml:space="preserve">В задачи Экспертного совета входит: </w:t>
      </w:r>
    </w:p>
    <w:p w14:paraId="0000003E" w14:textId="77777777" w:rsidR="00502E75" w:rsidRDefault="009A2B1C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92" w:right="20"/>
      </w:pPr>
      <w:r>
        <w:t xml:space="preserve">экспертиза заявок Конкурса; </w:t>
      </w:r>
    </w:p>
    <w:p w14:paraId="0000003F" w14:textId="77777777" w:rsidR="00502E75" w:rsidRDefault="009A2B1C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30" w:lineRule="auto"/>
        <w:ind w:left="992" w:right="20"/>
      </w:pPr>
      <w:r>
        <w:t xml:space="preserve">определение победителей Конкурса и окончательного размера финансирования заявок победителей.  </w:t>
      </w:r>
    </w:p>
    <w:p w14:paraId="00000040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line="230" w:lineRule="auto"/>
        <w:ind w:left="566" w:right="20"/>
        <w:jc w:val="both"/>
      </w:pPr>
      <w:r>
        <w:t>Наблюдательный совет Конкурса формируется Фондом совместно с Компанией из представителей органов исполнительной власти в сфере культуры приоритетных регионов.</w:t>
      </w:r>
    </w:p>
    <w:p w14:paraId="00000041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line="240" w:lineRule="auto"/>
        <w:ind w:left="566" w:right="20"/>
      </w:pPr>
      <w:r>
        <w:t xml:space="preserve">В задачи Наблюдательного совета входит: </w:t>
      </w:r>
    </w:p>
    <w:p w14:paraId="00000042" w14:textId="77777777" w:rsidR="00502E75" w:rsidRDefault="009A2B1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1" w:line="230" w:lineRule="auto"/>
        <w:ind w:left="992" w:right="20"/>
      </w:pPr>
      <w:r>
        <w:t xml:space="preserve">консультирование Фонда, Компании, и Проектной команды по вопросам организации, проведения и улучшения условий Конкурса; </w:t>
      </w:r>
    </w:p>
    <w:p w14:paraId="00000043" w14:textId="77777777" w:rsidR="00502E75" w:rsidRDefault="009A2B1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30" w:lineRule="auto"/>
        <w:ind w:left="992" w:right="20"/>
      </w:pPr>
      <w:r>
        <w:t xml:space="preserve">осуществление общего контроля за соблюдением правил и порядка проведения Конкурса; </w:t>
      </w:r>
    </w:p>
    <w:p w14:paraId="00000044" w14:textId="77777777" w:rsidR="00502E75" w:rsidRDefault="009A2B1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92" w:right="20"/>
      </w:pPr>
      <w:r>
        <w:t xml:space="preserve">утверждение итогов Конкурса; </w:t>
      </w:r>
    </w:p>
    <w:p w14:paraId="00000045" w14:textId="77777777" w:rsidR="00502E75" w:rsidRDefault="009A2B1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25" w:lineRule="auto"/>
        <w:ind w:left="992" w:right="20"/>
      </w:pPr>
      <w:r>
        <w:t xml:space="preserve">принятие решений об учреждении дополнительных номинаций Конкурса и специальных призов. </w:t>
      </w:r>
    </w:p>
    <w:p w14:paraId="00000046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4" w:line="230" w:lineRule="auto"/>
        <w:ind w:left="566" w:right="20"/>
      </w:pPr>
      <w:r>
        <w:t xml:space="preserve">Члены Экспертного и Наблюдательного советов подписывают заявление об отсутствии конфликта интересов. </w:t>
      </w:r>
      <w:r>
        <w:br/>
      </w:r>
    </w:p>
    <w:p w14:paraId="00000047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566" w:right="100"/>
        <w:jc w:val="both"/>
        <w:rPr>
          <w:b/>
          <w:bCs/>
          <w:color w:val="646EAF"/>
        </w:rPr>
      </w:pPr>
      <w:r>
        <w:t>Конфликт интересов возникает в случае, если эксперт/член Наблюдательного совета является сотрудником/волонтером/членом коллегиального органа управления/донором организации, заявку которой он оценивает/утверждает, а также в случае, если  работниками и/или членами органов управления организации, заявку которой он оценивает/утверждает, являются его близкие родственники, и в иных случаях, если  имеются обстоятельства, дающие основание полагать, что эксперт/член  Наблюдательного совета лично, прямо или косвенно заинтересован в результатах рассмотрения заявки.</w:t>
      </w:r>
    </w:p>
    <w:p w14:paraId="00000048" w14:textId="77777777" w:rsidR="00502E75" w:rsidRDefault="00502E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566" w:right="100"/>
        <w:jc w:val="both"/>
        <w:rPr>
          <w:b/>
          <w:bCs/>
          <w:color w:val="646EAF"/>
        </w:rPr>
      </w:pPr>
    </w:p>
    <w:p w14:paraId="00000049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566" w:right="100"/>
        <w:jc w:val="center"/>
        <w:rPr>
          <w:b/>
          <w:bCs/>
        </w:rPr>
      </w:pPr>
      <w:r>
        <w:rPr>
          <w:b/>
          <w:bCs/>
          <w:color w:val="646EAF"/>
        </w:rPr>
        <w:t>6. Порядок проведения Конкурса</w:t>
      </w:r>
      <w:r>
        <w:rPr>
          <w:b/>
          <w:bCs/>
        </w:rPr>
        <w:t xml:space="preserve"> </w:t>
      </w:r>
    </w:p>
    <w:p w14:paraId="0000004A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30" w:lineRule="auto"/>
        <w:ind w:left="566" w:right="104"/>
      </w:pPr>
      <w:r>
        <w:t xml:space="preserve">Заявки принимаются в период: </w:t>
      </w:r>
      <w:r>
        <w:rPr>
          <w:b/>
          <w:bCs/>
          <w:color w:val="646EAF"/>
        </w:rPr>
        <w:t>с 25 августа по 8 октября 2026 г.</w:t>
      </w:r>
      <w:r>
        <w:t xml:space="preserve"> (до 18.00 московского времени) </w:t>
      </w:r>
    </w:p>
    <w:p w14:paraId="0000004B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30" w:lineRule="auto"/>
        <w:ind w:left="566" w:right="104"/>
        <w:rPr>
          <w:b/>
          <w:bCs/>
          <w:shd w:val="clear" w:color="auto" w:fill="D5A6BD"/>
        </w:rPr>
      </w:pPr>
      <w:r>
        <w:t xml:space="preserve">Экспертная оценка заявок: </w:t>
      </w:r>
      <w:r>
        <w:rPr>
          <w:b/>
          <w:bCs/>
          <w:color w:val="646EAF"/>
        </w:rPr>
        <w:t>с 12 октября по 30 октября 2026 г.;</w:t>
      </w:r>
      <w:r>
        <w:rPr>
          <w:b/>
          <w:bCs/>
        </w:rPr>
        <w:t xml:space="preserve"> </w:t>
      </w:r>
    </w:p>
    <w:p w14:paraId="0000004C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30" w:lineRule="auto"/>
        <w:ind w:left="566" w:right="104"/>
        <w:rPr>
          <w:b/>
          <w:bCs/>
          <w:color w:val="646EAF"/>
        </w:rPr>
      </w:pPr>
      <w:r>
        <w:t xml:space="preserve">Объявление финалистов Конкурса: </w:t>
      </w:r>
      <w:r>
        <w:rPr>
          <w:b/>
          <w:bCs/>
          <w:color w:val="646EAF"/>
        </w:rPr>
        <w:t xml:space="preserve">до 30 октября 2026 г.; </w:t>
      </w:r>
    </w:p>
    <w:p w14:paraId="0000004D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30" w:lineRule="auto"/>
        <w:ind w:left="566" w:right="104"/>
        <w:rPr>
          <w:b/>
          <w:bCs/>
          <w:color w:val="646EAF"/>
        </w:rPr>
      </w:pPr>
      <w:r>
        <w:t xml:space="preserve">Доработка проектов финалистами Конкурса при поддержке экспертов: </w:t>
      </w:r>
      <w:r>
        <w:br/>
      </w:r>
      <w:r>
        <w:rPr>
          <w:b/>
          <w:bCs/>
          <w:color w:val="646EAF"/>
        </w:rPr>
        <w:t>с 2 по 20 ноября 2026 г.;</w:t>
      </w:r>
    </w:p>
    <w:p w14:paraId="0000004E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30" w:lineRule="auto"/>
        <w:ind w:left="566" w:right="104"/>
        <w:rPr>
          <w:b/>
          <w:bCs/>
          <w:color w:val="646EAF"/>
          <w:shd w:val="clear" w:color="auto" w:fill="EAD1DC"/>
        </w:rPr>
      </w:pPr>
      <w:r>
        <w:t>Онлайн-защита проектов:</w:t>
      </w:r>
      <w:r>
        <w:rPr>
          <w:b/>
          <w:bCs/>
        </w:rPr>
        <w:t xml:space="preserve"> </w:t>
      </w:r>
      <w:r>
        <w:rPr>
          <w:b/>
          <w:bCs/>
          <w:color w:val="646EAF"/>
        </w:rPr>
        <w:t xml:space="preserve">с 23 ноября по 4 декабря 2026 г; </w:t>
      </w:r>
    </w:p>
    <w:p w14:paraId="0000004F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30" w:lineRule="auto"/>
        <w:ind w:left="566" w:right="104"/>
        <w:rPr>
          <w:b/>
          <w:bCs/>
          <w:color w:val="646EAF"/>
          <w:shd w:val="clear" w:color="auto" w:fill="EAD1DC"/>
        </w:rPr>
      </w:pPr>
      <w:r>
        <w:t xml:space="preserve">Определение и утверждение победителей: </w:t>
      </w:r>
      <w:r>
        <w:rPr>
          <w:b/>
          <w:bCs/>
          <w:color w:val="646EAF"/>
        </w:rPr>
        <w:t xml:space="preserve">до 18 декабря 2026 г. </w:t>
      </w:r>
    </w:p>
    <w:p w14:paraId="00000050" w14:textId="6ECE3B21" w:rsidR="00502E75" w:rsidRPr="00E26448" w:rsidRDefault="009A2B1C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566"/>
        <w:jc w:val="both"/>
        <w:rPr>
          <w:color w:val="000000"/>
          <w:lang w:val="ru-RU"/>
        </w:rPr>
      </w:pPr>
      <w:r>
        <w:rPr>
          <w:color w:val="000000"/>
        </w:rPr>
        <w:t xml:space="preserve">Подача заявок на участие в Конкурсе производится через Платформу </w:t>
      </w:r>
      <w:sdt>
        <w:sdtPr>
          <w:tag w:val="goog_rdk_6"/>
          <w:id w:val="-756851638"/>
          <w:showingPlcHdr/>
        </w:sdtPr>
        <w:sdtEndPr/>
        <w:sdtContent>
          <w:r w:rsidR="00E26448">
            <w:t xml:space="preserve">     </w:t>
          </w:r>
        </w:sdtContent>
      </w:sdt>
      <w:r w:rsidR="00E26448" w:rsidRPr="00E26448">
        <w:t>https://grant.severstal.com/contests/muzei-russkogo-severa-2026/</w:t>
      </w:r>
      <w:r>
        <w:rPr>
          <w:color w:val="000000"/>
        </w:rPr>
        <w:t xml:space="preserve">. Для этого участнику необходимо зарегистрироваться на Платформе, заполнив все обязательные поля в регистрационной форме и подтвердив свою электронную почту. </w:t>
      </w:r>
    </w:p>
    <w:p w14:paraId="00000051" w14:textId="77777777" w:rsidR="00502E75" w:rsidRDefault="009A2B1C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566"/>
        <w:jc w:val="both"/>
        <w:rPr>
          <w:color w:val="000000"/>
        </w:rPr>
      </w:pPr>
      <w:r>
        <w:rPr>
          <w:color w:val="000000"/>
        </w:rPr>
        <w:lastRenderedPageBreak/>
        <w:t xml:space="preserve">Заявка на Конкурс должна соответствовать форме, размещенной на Платформе в разделе «Документы конкурса» к началу заявочной кампании. </w:t>
      </w:r>
    </w:p>
    <w:p w14:paraId="00000052" w14:textId="77777777" w:rsidR="00502E75" w:rsidRDefault="009A2B1C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566"/>
        <w:jc w:val="both"/>
        <w:rPr>
          <w:color w:val="000000"/>
        </w:rPr>
      </w:pPr>
      <w:r>
        <w:rPr>
          <w:color w:val="000000"/>
        </w:rPr>
        <w:t>Участник Конкурса может вносить изменения в заполненную форму через личный кабинет до окончания срока приема заявок.</w:t>
      </w:r>
    </w:p>
    <w:p w14:paraId="00000053" w14:textId="77777777" w:rsidR="00502E75" w:rsidRDefault="009A2B1C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566"/>
        <w:jc w:val="both"/>
        <w:rPr>
          <w:color w:val="000000"/>
        </w:rPr>
      </w:pPr>
      <w:r>
        <w:rPr>
          <w:color w:val="000000"/>
        </w:rPr>
        <w:t>Вместе с заявкой участник Конкурса должен загрузить на Платформу обязательный пакет электронных копий сопроводительных документов:</w:t>
      </w:r>
    </w:p>
    <w:p w14:paraId="00000054" w14:textId="77777777" w:rsidR="00502E75" w:rsidRDefault="009A2B1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92" w:hanging="425"/>
        <w:jc w:val="both"/>
      </w:pPr>
      <w:r>
        <w:rPr>
          <w:color w:val="000000"/>
        </w:rPr>
        <w:t>Свидетельство о государственной регистрации/лист записи ЕГРЮЛ о государственной регистрации</w:t>
      </w:r>
    </w:p>
    <w:p w14:paraId="00000055" w14:textId="77777777" w:rsidR="00502E75" w:rsidRDefault="009A2B1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992" w:hanging="425"/>
        <w:jc w:val="both"/>
      </w:pPr>
      <w:r>
        <w:rPr>
          <w:color w:val="000000"/>
        </w:rPr>
        <w:t>Устав организации.</w:t>
      </w:r>
    </w:p>
    <w:p w14:paraId="00000056" w14:textId="77777777" w:rsidR="00502E75" w:rsidRDefault="009A2B1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992" w:hanging="425"/>
        <w:jc w:val="both"/>
      </w:pPr>
      <w:r>
        <w:rPr>
          <w:color w:val="000000"/>
        </w:rPr>
        <w:t>Карточка реквизитов организации, заверенная печатью и подписью руководителя (должна содержать код бюджетной классификации (КБК), ОКТМО).</w:t>
      </w:r>
    </w:p>
    <w:p w14:paraId="00000057" w14:textId="77777777" w:rsidR="00502E75" w:rsidRDefault="009A2B1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992" w:hanging="425"/>
        <w:jc w:val="both"/>
      </w:pPr>
      <w:r>
        <w:rPr>
          <w:color w:val="000000"/>
        </w:rPr>
        <w:t>Документ, подтверждающий полномочия ЕИО/представителя, уполномоченного в надлежащем порядке.</w:t>
      </w:r>
    </w:p>
    <w:p w14:paraId="00000058" w14:textId="77777777" w:rsidR="00502E75" w:rsidRDefault="009A2B1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992" w:hanging="425"/>
        <w:jc w:val="both"/>
      </w:pPr>
      <w:r>
        <w:rPr>
          <w:color w:val="000000"/>
        </w:rPr>
        <w:t>Согласия на обработку персональных данных руководителя организации-участника Конкурса, а также всех членов команды проекта, указанных в заявке, по форме Приложения №1.</w:t>
      </w:r>
    </w:p>
    <w:p w14:paraId="00000059" w14:textId="77777777" w:rsidR="00502E75" w:rsidRDefault="009A2B1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992" w:hanging="425"/>
        <w:jc w:val="both"/>
      </w:pPr>
      <w:r>
        <w:rPr>
          <w:color w:val="000000"/>
        </w:rPr>
        <w:t>Справка, подтверждающая отсутствие задолженности по налогам.</w:t>
      </w:r>
    </w:p>
    <w:p w14:paraId="0000005A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1" w:line="228" w:lineRule="auto"/>
        <w:ind w:left="566" w:right="105"/>
        <w:jc w:val="both"/>
      </w:pPr>
      <w:r>
        <w:t xml:space="preserve">По усмотрению участника Конкурса к заявке могут прилагаться любые дополнительные материалы, которые будут способствовать в изучении и оценке членами Экспертного совета заявленного проекта. </w:t>
      </w:r>
    </w:p>
    <w:p w14:paraId="0000005B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6" w:line="230" w:lineRule="auto"/>
        <w:ind w:left="566" w:right="173"/>
        <w:jc w:val="both"/>
      </w:pPr>
      <w:r>
        <w:t xml:space="preserve">При необходимости Проектная команда консультирует заявителей с целью правильного оформления заявок. </w:t>
      </w:r>
    </w:p>
    <w:p w14:paraId="0000005C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line="230" w:lineRule="auto"/>
        <w:ind w:left="566" w:right="105"/>
        <w:jc w:val="both"/>
      </w:pPr>
      <w:r>
        <w:t xml:space="preserve">Заявки, поданные позже срока окончания приема заявок, а также которые были подготовлены, но не отправлены, к рассмотрению не принимаются.  </w:t>
      </w:r>
      <w:r>
        <w:br/>
      </w:r>
      <w:r>
        <w:br/>
        <w:t xml:space="preserve">Документы, поданные на Конкурс, не возвращаются и не рецензируются. </w:t>
      </w:r>
    </w:p>
    <w:p w14:paraId="0000005D" w14:textId="77777777" w:rsidR="00502E75" w:rsidRDefault="009A2B1C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566"/>
        <w:jc w:val="both"/>
        <w:rPr>
          <w:color w:val="000000"/>
        </w:rPr>
      </w:pPr>
      <w:r>
        <w:rPr>
          <w:color w:val="000000"/>
        </w:rPr>
        <w:t>Все поданные заявки проверяются Проектной командой на предмет соответствия установленным формальным требованиям и условиям Конкурса. После этого каждой заявке присваивается уникальный номер, а заявителю отправляется автоматическое уведомление в личный кабинет Платформы о результатах рассмотрения заявки: принятии, отклонении или необходимости внести уточнения.</w:t>
      </w:r>
    </w:p>
    <w:p w14:paraId="0000005E" w14:textId="77777777" w:rsidR="00502E75" w:rsidRDefault="009A2B1C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566"/>
        <w:jc w:val="both"/>
        <w:rPr>
          <w:color w:val="000000"/>
        </w:rPr>
      </w:pPr>
      <w:r>
        <w:rPr>
          <w:color w:val="000000"/>
        </w:rPr>
        <w:t xml:space="preserve">Проектная команда имеет право отклонить заявку, поданную на Конкурс, на любом этапе его проведения, если заявка не соответствует требованиям настоящего Положения и/или нарушает законодательство РФ. </w:t>
      </w:r>
    </w:p>
    <w:p w14:paraId="0000005F" w14:textId="77777777" w:rsidR="00502E75" w:rsidRDefault="009A2B1C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566"/>
        <w:jc w:val="both"/>
        <w:rPr>
          <w:color w:val="000000"/>
        </w:rPr>
      </w:pPr>
      <w:r>
        <w:rPr>
          <w:color w:val="000000"/>
        </w:rPr>
        <w:t>Заявки, поданные в установленные сроки и прошедшие проверку на соответствие установленным формальным критериям и требованиям Конкурса, направляются на экспертную оценку.</w:t>
      </w:r>
    </w:p>
    <w:p w14:paraId="00000060" w14:textId="77777777" w:rsidR="00502E75" w:rsidRDefault="00502E75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566"/>
        <w:jc w:val="both"/>
      </w:pPr>
    </w:p>
    <w:p w14:paraId="00000061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566"/>
      </w:pPr>
      <w:r>
        <w:rPr>
          <w:u w:val="single"/>
        </w:rPr>
        <w:t>Общие требования к представленным на Конкурс проектам:</w:t>
      </w:r>
      <w:r>
        <w:t xml:space="preserve"> </w:t>
      </w:r>
    </w:p>
    <w:p w14:paraId="00000062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line="228" w:lineRule="auto"/>
        <w:ind w:left="566" w:right="163"/>
        <w:jc w:val="both"/>
      </w:pPr>
      <w:r>
        <w:t xml:space="preserve">Для целей настоящего Положения под </w:t>
      </w:r>
      <w:r>
        <w:rPr>
          <w:b/>
          <w:bCs/>
          <w:i/>
          <w:iCs/>
          <w:color w:val="646EAF"/>
        </w:rPr>
        <w:t xml:space="preserve">проектом </w:t>
      </w:r>
      <w:r>
        <w:t xml:space="preserve">понимается комплекс взаимосвязанных мероприятий, направленных на выполнение четко обозначенной цели и получение конкретного результата в заданный промежуток времени с использованием различных ресурсов (кадровых, финансовых, материально-технических и пр.). </w:t>
      </w:r>
    </w:p>
    <w:p w14:paraId="00000063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6" w:line="228" w:lineRule="auto"/>
        <w:ind w:left="566" w:right="-3"/>
        <w:jc w:val="both"/>
      </w:pPr>
      <w:r>
        <w:t xml:space="preserve">Проект может быть поддержан, если он предусматривает внедрение новых форм и методов </w:t>
      </w:r>
      <w:r>
        <w:lastRenderedPageBreak/>
        <w:t xml:space="preserve">работы, позволяющих повысить эффективность и качество деятельности организации, на разработку и внедрение которых финансирования из иных источников недостаточно.  </w:t>
      </w:r>
    </w:p>
    <w:p w14:paraId="00000064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1" w:line="225" w:lineRule="auto"/>
        <w:ind w:left="566" w:right="71"/>
        <w:jc w:val="both"/>
        <w:rPr>
          <w:b/>
          <w:bCs/>
          <w:color w:val="646EAF"/>
        </w:rPr>
      </w:pPr>
      <w:r>
        <w:t xml:space="preserve">В рамках Конкурса предусматривается финансирование проектов со сроком реализации от 3 (трех) до 9 (девяти) месяцев в период с </w:t>
      </w:r>
      <w:r>
        <w:rPr>
          <w:b/>
          <w:bCs/>
          <w:color w:val="646EAF"/>
        </w:rPr>
        <w:t xml:space="preserve">01 марта по 30 ноября 2027 года. </w:t>
      </w:r>
    </w:p>
    <w:p w14:paraId="00000065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4" w:line="227" w:lineRule="auto"/>
        <w:ind w:left="566" w:right="402"/>
      </w:pPr>
      <w:r>
        <w:t xml:space="preserve">Средства, предоставленные победителям Конкурса, не могут использоваться: </w:t>
      </w:r>
    </w:p>
    <w:p w14:paraId="00000066" w14:textId="77777777" w:rsidR="00502E75" w:rsidRDefault="009A2B1C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27" w:lineRule="auto"/>
        <w:ind w:right="402"/>
        <w:jc w:val="both"/>
      </w:pPr>
      <w:r>
        <w:t xml:space="preserve">для реализации коммерческих проектов, предполагающих извлечение прибыли; </w:t>
      </w:r>
    </w:p>
    <w:p w14:paraId="00000067" w14:textId="77777777" w:rsidR="00502E75" w:rsidRDefault="009A2B1C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27" w:lineRule="auto"/>
        <w:ind w:right="402"/>
        <w:jc w:val="both"/>
      </w:pPr>
      <w:r>
        <w:t xml:space="preserve">на оказание прямой гуманитарной и/или социальной помощи отдельным лицам; </w:t>
      </w:r>
    </w:p>
    <w:p w14:paraId="00000068" w14:textId="77777777" w:rsidR="00502E75" w:rsidRDefault="009A2B1C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27" w:lineRule="auto"/>
        <w:ind w:left="1417" w:right="402"/>
        <w:jc w:val="both"/>
      </w:pPr>
      <w:r>
        <w:t xml:space="preserve">для покрытия текущих расходов и долгов победителей Конкурса; </w:t>
      </w:r>
    </w:p>
    <w:p w14:paraId="00000069" w14:textId="77777777" w:rsidR="00502E75" w:rsidRDefault="009A2B1C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25" w:lineRule="auto"/>
        <w:ind w:left="1417" w:right="-2"/>
        <w:jc w:val="both"/>
      </w:pPr>
      <w:r>
        <w:t xml:space="preserve">для осуществления деятельности, не связанной с реализацией заявленного на Конкурс проекта; </w:t>
      </w:r>
    </w:p>
    <w:p w14:paraId="0000006A" w14:textId="77777777" w:rsidR="00502E75" w:rsidRDefault="009A2B1C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7"/>
        <w:jc w:val="both"/>
      </w:pPr>
      <w:r>
        <w:t xml:space="preserve">для покрытия расходов, связанных с зарубежными командировками. </w:t>
      </w:r>
    </w:p>
    <w:p w14:paraId="0000006B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line="240" w:lineRule="auto"/>
        <w:ind w:left="566"/>
      </w:pPr>
      <w:r>
        <w:rPr>
          <w:u w:val="single"/>
        </w:rPr>
        <w:t>Экспертиза заявок, допущенных к участию в Конкурсе:</w:t>
      </w:r>
      <w:r>
        <w:t xml:space="preserve"> </w:t>
      </w:r>
    </w:p>
    <w:p w14:paraId="0000006C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566" w:right="180"/>
      </w:pPr>
      <w:r>
        <w:t xml:space="preserve">После проверки заявок Проектной командой на соответствие формальным требованиям и условиям Конкурса заявки направляются членам Экспертного совета для экспертизы. </w:t>
      </w:r>
    </w:p>
    <w:p w14:paraId="0000006D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0" w:line="240" w:lineRule="auto"/>
        <w:ind w:left="566"/>
      </w:pPr>
      <w:r>
        <w:t xml:space="preserve">Каждую заявку оценивают как минимум 3 (три) члена Экспертного совета. </w:t>
      </w:r>
    </w:p>
    <w:p w14:paraId="0000006E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line="225" w:lineRule="auto"/>
        <w:ind w:left="566" w:right="101"/>
      </w:pPr>
      <w:r>
        <w:t xml:space="preserve">Заявки рассматриваются и оцениваются членами Экспертного совета по следующим критериям: </w:t>
      </w:r>
    </w:p>
    <w:p w14:paraId="0000006F" w14:textId="77777777" w:rsidR="00502E75" w:rsidRDefault="009A2B1C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4" w:line="228" w:lineRule="auto"/>
        <w:ind w:left="992" w:right="-4"/>
      </w:pPr>
      <w:r>
        <w:t>Соответствие проекта цели, задачам и приоритетам Конкурса;</w:t>
      </w:r>
    </w:p>
    <w:p w14:paraId="00000070" w14:textId="77777777" w:rsidR="00502E75" w:rsidRDefault="009A2B1C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ind w:left="992" w:right="-4"/>
      </w:pPr>
      <w:r>
        <w:t xml:space="preserve">Актуальность и обоснованность проекта для конкретной целевой группы, соответствие предлагаемых решений ее потребностям; </w:t>
      </w:r>
    </w:p>
    <w:p w14:paraId="00000071" w14:textId="77777777" w:rsidR="00502E75" w:rsidRDefault="009A2B1C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30" w:lineRule="auto"/>
        <w:ind w:left="992" w:right="-2"/>
      </w:pPr>
      <w:r>
        <w:t>Использование инновационных методов в осуществлении проекта, передового опыта и новых подходов в решении заявленных проблем;</w:t>
      </w:r>
    </w:p>
    <w:p w14:paraId="00000072" w14:textId="77777777" w:rsidR="00502E75" w:rsidRDefault="009A2B1C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30" w:lineRule="auto"/>
        <w:ind w:left="992" w:right="-5"/>
      </w:pPr>
      <w:r>
        <w:t xml:space="preserve">Системность, целесообразность и эффективность предлагаемого механизма реализации проекта, его нацеленность на достижение поставленной цели; </w:t>
      </w:r>
    </w:p>
    <w:p w14:paraId="00000073" w14:textId="77777777" w:rsidR="00502E75" w:rsidRDefault="009A2B1C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30" w:lineRule="auto"/>
        <w:ind w:left="992" w:right="-5"/>
      </w:pPr>
      <w:r>
        <w:t xml:space="preserve">Обоснованность и реалистичность календарного плана проекта; </w:t>
      </w:r>
    </w:p>
    <w:p w14:paraId="00000074" w14:textId="77777777" w:rsidR="00502E75" w:rsidRDefault="009A2B1C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92"/>
      </w:pPr>
      <w:r>
        <w:t xml:space="preserve">Квалификация исполнителей проекта; </w:t>
      </w:r>
    </w:p>
    <w:p w14:paraId="00000075" w14:textId="77777777" w:rsidR="00502E75" w:rsidRDefault="009A2B1C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27" w:lineRule="auto"/>
        <w:ind w:left="992" w:right="-3"/>
      </w:pPr>
      <w:r>
        <w:t xml:space="preserve">Реалистичность и достижимость заявленных количественных и качественных результатов проекта, возможный социальный эффект от его реализации; </w:t>
      </w:r>
    </w:p>
    <w:p w14:paraId="00000076" w14:textId="77777777" w:rsidR="00502E75" w:rsidRDefault="009A2B1C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27" w:lineRule="auto"/>
        <w:ind w:left="992" w:right="-3"/>
      </w:pPr>
      <w:r>
        <w:t xml:space="preserve">Информационная стратегия продвижения проекта, в том числе среди целевой аудитории и местного сообщества в целом; </w:t>
      </w:r>
    </w:p>
    <w:p w14:paraId="00000077" w14:textId="77777777" w:rsidR="00502E75" w:rsidRDefault="009A2B1C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6" w:lineRule="auto"/>
        <w:ind w:left="992" w:right="761"/>
      </w:pPr>
      <w:r>
        <w:t xml:space="preserve">Реалистичность бюджета проекта и обоснованность предполагаемых затрат; </w:t>
      </w:r>
    </w:p>
    <w:p w14:paraId="00000078" w14:textId="77777777" w:rsidR="00502E75" w:rsidRDefault="009A2B1C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6" w:lineRule="auto"/>
        <w:ind w:left="992" w:right="761"/>
      </w:pPr>
      <w:r>
        <w:t>Наличие софинансирования проекта.</w:t>
      </w:r>
    </w:p>
    <w:p w14:paraId="00000079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4" w:line="230" w:lineRule="auto"/>
        <w:ind w:left="566" w:right="-3"/>
        <w:jc w:val="both"/>
      </w:pPr>
      <w:r>
        <w:t xml:space="preserve">Наличие софинансирования проекта не является обязательным условием, однако будет приниматься во внимание в ходе экспертизы заявки. </w:t>
      </w:r>
    </w:p>
    <w:p w14:paraId="0000007A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0" w:line="229" w:lineRule="auto"/>
        <w:ind w:left="566" w:right="98"/>
        <w:jc w:val="both"/>
      </w:pPr>
      <w:r>
        <w:t xml:space="preserve">Для целей настоящего Положения под софинансированием понимаются собственные денежные средства участника Конкурса либо денежные средства иных лиц. Объем софинансирования в денежной форме может быть любым. Допускается также «неденежное софинансирование» – путем предоставления материальной базы, оборудования, информационной поддержки и других необходимых ресурсов; </w:t>
      </w:r>
    </w:p>
    <w:p w14:paraId="0000007B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1" w:line="240" w:lineRule="auto"/>
        <w:ind w:left="566"/>
        <w:jc w:val="both"/>
      </w:pPr>
      <w:r>
        <w:t xml:space="preserve">Эксперты оценивают каждую заявку по 5-балльной шкале: </w:t>
      </w:r>
    </w:p>
    <w:p w14:paraId="0000007C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6"/>
      </w:pPr>
      <w:r>
        <w:t xml:space="preserve">1 балл – критерий оценки в заявке не отражен; </w:t>
      </w:r>
    </w:p>
    <w:p w14:paraId="0000007D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6"/>
      </w:pPr>
      <w:r>
        <w:t xml:space="preserve">2 балла – заявка ниже требований по данному критерию оценки; </w:t>
      </w:r>
    </w:p>
    <w:p w14:paraId="0000007E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6"/>
      </w:pPr>
      <w:r>
        <w:t xml:space="preserve">3 балла – частичное соответствие заявки критерию оценки; </w:t>
      </w:r>
    </w:p>
    <w:p w14:paraId="0000007F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left="566" w:right="1296"/>
      </w:pPr>
      <w:r>
        <w:t xml:space="preserve">4 балла – относительно полное соответствие заявки критерию оценки; </w:t>
      </w:r>
    </w:p>
    <w:p w14:paraId="00000080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left="566" w:right="2240"/>
      </w:pPr>
      <w:r>
        <w:t xml:space="preserve">5 баллов – высокое соответствие критерию оценки. </w:t>
      </w:r>
    </w:p>
    <w:p w14:paraId="00000081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8" w:line="228" w:lineRule="auto"/>
        <w:ind w:left="566" w:right="110"/>
        <w:jc w:val="both"/>
      </w:pPr>
      <w:r>
        <w:t xml:space="preserve">На основании оценок, полученных от членов Экспертного совета, Проектная команда </w:t>
      </w:r>
      <w:r>
        <w:lastRenderedPageBreak/>
        <w:t xml:space="preserve">составляет рейтинг заявок, который обсуждается на заседании Экспертного совета. По итогам обсуждения определяется список финалистов.  </w:t>
      </w:r>
    </w:p>
    <w:p w14:paraId="00000082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2" w:line="230" w:lineRule="auto"/>
        <w:ind w:left="566" w:right="186"/>
        <w:jc w:val="both"/>
      </w:pPr>
      <w:r>
        <w:t xml:space="preserve">Решение по отбору финалистов принимается коллегиально. Итоги обсуждения оформляются протоколом заседания Экспертного совета. </w:t>
      </w:r>
    </w:p>
    <w:p w14:paraId="00000083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28" w:lineRule="auto"/>
        <w:ind w:left="566" w:right="111"/>
        <w:jc w:val="both"/>
      </w:pPr>
      <w:r>
        <w:t xml:space="preserve">Организации, набравшие наибольшее количество баллов, объявляются финалистами и дорабатывают проекты в соответствии с рекомендациями членов Экспертного совета в установленные сроки. Доработка проектов осуществляется при консультационной поддержке членов Экспертного совета Программы. </w:t>
      </w:r>
    </w:p>
    <w:p w14:paraId="00000084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28" w:lineRule="auto"/>
        <w:ind w:left="566" w:right="111"/>
        <w:jc w:val="both"/>
      </w:pPr>
      <w:r>
        <w:t xml:space="preserve">Доработанные проекты предоставляются с изменениями, внесенными в режиме правки, либо выделенными цветом. Финалисты Конкурса представляют свой проект в онлайн-формате членам Экспертного совета. </w:t>
      </w:r>
    </w:p>
    <w:p w14:paraId="00000085" w14:textId="77777777" w:rsidR="00502E75" w:rsidRDefault="00502E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30" w:lineRule="auto"/>
        <w:ind w:left="566" w:right="110"/>
        <w:jc w:val="both"/>
      </w:pPr>
    </w:p>
    <w:p w14:paraId="00000086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30" w:lineRule="auto"/>
        <w:ind w:left="566" w:right="110"/>
        <w:jc w:val="both"/>
      </w:pPr>
      <w:r>
        <w:t xml:space="preserve">По результатам доработки проектов и проведения онлайн-защиты Экспертный совет определяет победителей Конкурса. </w:t>
      </w:r>
    </w:p>
    <w:p w14:paraId="00000087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0" w:line="225" w:lineRule="auto"/>
        <w:ind w:left="566" w:right="45"/>
        <w:jc w:val="both"/>
      </w:pPr>
      <w:r>
        <w:t xml:space="preserve">Перечень победителей Конкурса, определенный Экспертным советом, утверждается на заседании Наблюдательного совета. </w:t>
      </w:r>
    </w:p>
    <w:p w14:paraId="00000088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4" w:line="230" w:lineRule="auto"/>
        <w:ind w:left="566" w:right="185"/>
        <w:jc w:val="both"/>
      </w:pPr>
      <w:r>
        <w:t xml:space="preserve">По результатам заседания Экспертного совета и Наблюдательного совета участники Конкурса получают письменное уведомление о поддержке или отклонении заявки. </w:t>
      </w:r>
    </w:p>
    <w:p w14:paraId="00000089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0" w:line="225" w:lineRule="auto"/>
        <w:ind w:left="566" w:right="109"/>
        <w:jc w:val="both"/>
      </w:pPr>
      <w:r>
        <w:t xml:space="preserve">Принятое решение не комментируется со стороны Фонда, Компании и Проектной команды. </w:t>
      </w:r>
    </w:p>
    <w:p w14:paraId="0000008A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544"/>
        </w:tabs>
        <w:spacing w:before="518" w:line="240" w:lineRule="auto"/>
        <w:ind w:left="566" w:right="123"/>
        <w:jc w:val="center"/>
        <w:rPr>
          <w:b/>
          <w:bCs/>
          <w:color w:val="646EAF"/>
        </w:rPr>
      </w:pPr>
      <w:r>
        <w:rPr>
          <w:b/>
          <w:bCs/>
          <w:color w:val="646EAF"/>
        </w:rPr>
        <w:t>7. Размер гранта</w:t>
      </w:r>
    </w:p>
    <w:p w14:paraId="0000008B" w14:textId="6DE19972" w:rsidR="00502E75" w:rsidRPr="00E26448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6" w:line="230" w:lineRule="auto"/>
        <w:ind w:left="566" w:right="106"/>
        <w:jc w:val="both"/>
        <w:rPr>
          <w:color w:val="646EAF"/>
        </w:rPr>
      </w:pPr>
      <w:r>
        <w:t xml:space="preserve">Максимальная сумма расходов в рамках гранта на одну заявку не должна </w:t>
      </w:r>
      <w:r w:rsidRPr="00E26448">
        <w:t>превышать</w:t>
      </w:r>
      <w:r w:rsidR="00E26448">
        <w:rPr>
          <w:lang w:val="ru-RU"/>
        </w:rPr>
        <w:t xml:space="preserve"> </w:t>
      </w:r>
      <w:r w:rsidRPr="00E26448">
        <w:rPr>
          <w:b/>
          <w:bCs/>
          <w:color w:val="646EAF"/>
        </w:rPr>
        <w:t xml:space="preserve">1 000 000 (Один миллион) </w:t>
      </w:r>
      <w:sdt>
        <w:sdtPr>
          <w:tag w:val="goog_rdk_7"/>
          <w:id w:val="538315180"/>
        </w:sdtPr>
        <w:sdtEndPr/>
        <w:sdtContent/>
      </w:sdt>
      <w:sdt>
        <w:sdtPr>
          <w:tag w:val="goog_rdk_8"/>
          <w:id w:val="1745689860"/>
        </w:sdtPr>
        <w:sdtEndPr/>
        <w:sdtContent/>
      </w:sdt>
      <w:r w:rsidRPr="00E26448">
        <w:rPr>
          <w:b/>
          <w:bCs/>
          <w:color w:val="646EAF"/>
        </w:rPr>
        <w:t>рублей.</w:t>
      </w:r>
      <w:r w:rsidRPr="00E26448">
        <w:rPr>
          <w:color w:val="646EAF"/>
        </w:rPr>
        <w:t xml:space="preserve"> </w:t>
      </w:r>
    </w:p>
    <w:p w14:paraId="0000008C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4" w:line="225" w:lineRule="auto"/>
        <w:ind w:left="566" w:right="-18"/>
        <w:jc w:val="center"/>
        <w:rPr>
          <w:b/>
          <w:bCs/>
          <w:color w:val="646EAF"/>
        </w:rPr>
      </w:pPr>
      <w:r>
        <w:rPr>
          <w:b/>
          <w:bCs/>
          <w:color w:val="646EAF"/>
        </w:rPr>
        <w:t xml:space="preserve">8. Условия предоставления финансовой поддержки и мониторинг проектов </w:t>
      </w:r>
    </w:p>
    <w:bookmarkStart w:id="0" w:name="_heading=h.beyjtm8uf6p2" w:colFirst="0" w:colLast="0"/>
    <w:bookmarkEnd w:id="0"/>
    <w:p w14:paraId="0000008D" w14:textId="5F37783F" w:rsidR="00502E75" w:rsidRDefault="006F305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8" w:line="230" w:lineRule="auto"/>
        <w:ind w:left="566" w:right="98"/>
        <w:jc w:val="both"/>
      </w:pPr>
      <w:sdt>
        <w:sdtPr>
          <w:tag w:val="goog_rdk_10"/>
          <w:id w:val="1841338629"/>
        </w:sdtPr>
        <w:sdtEndPr/>
        <w:sdtContent>
          <w:sdt>
            <w:sdtPr>
              <w:tag w:val="goog_rdk_11"/>
              <w:id w:val="703704789"/>
            </w:sdtPr>
            <w:sdtEndPr/>
            <w:sdtContent>
              <w:r w:rsidR="009A2B1C" w:rsidRPr="00E26448">
                <w:t xml:space="preserve">Перечисление денежных средств </w:t>
              </w:r>
            </w:sdtContent>
          </w:sdt>
        </w:sdtContent>
      </w:sdt>
      <w:sdt>
        <w:sdtPr>
          <w:tag w:val="goog_rdk_12"/>
          <w:id w:val="-1007888902"/>
        </w:sdtPr>
        <w:sdtEndPr/>
        <w:sdtContent>
          <w:r w:rsidR="00E26448">
            <w:rPr>
              <w:lang w:val="ru-RU"/>
            </w:rPr>
            <w:t xml:space="preserve"> </w:t>
          </w:r>
        </w:sdtContent>
      </w:sdt>
      <w:r w:rsidR="009A2B1C">
        <w:t>победител</w:t>
      </w:r>
      <w:sdt>
        <w:sdtPr>
          <w:tag w:val="goog_rdk_13"/>
          <w:id w:val="-296370373"/>
        </w:sdtPr>
        <w:sdtEndPr/>
        <w:sdtContent>
          <w:r w:rsidR="009A2B1C">
            <w:t>ям</w:t>
          </w:r>
        </w:sdtContent>
      </w:sdt>
      <w:sdt>
        <w:sdtPr>
          <w:tag w:val="goog_rdk_14"/>
          <w:id w:val="1773645009"/>
          <w:showingPlcHdr/>
        </w:sdtPr>
        <w:sdtEndPr/>
        <w:sdtContent>
          <w:r w:rsidR="00E26448">
            <w:t xml:space="preserve">     </w:t>
          </w:r>
        </w:sdtContent>
      </w:sdt>
      <w:r w:rsidR="009A2B1C">
        <w:t xml:space="preserve"> Конкурса производится на основе договоров пожертвования (далее договор), заключаемых Фондом с организациями-победителями (далее победитель Конкурса). </w:t>
      </w:r>
    </w:p>
    <w:p w14:paraId="0000008E" w14:textId="5055773F" w:rsidR="00502E75" w:rsidRDefault="006F305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line="240" w:lineRule="auto"/>
        <w:ind w:left="566"/>
        <w:jc w:val="both"/>
      </w:pPr>
      <w:sdt>
        <w:sdtPr>
          <w:tag w:val="goog_rdk_16"/>
          <w:id w:val="1424923854"/>
        </w:sdtPr>
        <w:sdtEndPr/>
        <w:sdtContent>
          <w:r w:rsidR="009A2B1C">
            <w:t>Перечисление денежных средств</w:t>
          </w:r>
          <w:r w:rsidR="00E26448">
            <w:rPr>
              <w:lang w:val="ru-RU"/>
            </w:rPr>
            <w:t xml:space="preserve"> </w:t>
          </w:r>
        </w:sdtContent>
      </w:sdt>
      <w:r w:rsidR="009A2B1C">
        <w:t xml:space="preserve"> производится исключительно в безналичной форме. </w:t>
      </w:r>
    </w:p>
    <w:p w14:paraId="0000008F" w14:textId="2833DE55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6" w:line="230" w:lineRule="auto"/>
        <w:ind w:left="566" w:right="98"/>
        <w:jc w:val="both"/>
      </w:pPr>
      <w:r>
        <w:t xml:space="preserve">Обязательства Фонда по </w:t>
      </w:r>
      <w:r w:rsidRPr="00E26448">
        <w:t>перечислению</w:t>
      </w:r>
      <w:sdt>
        <w:sdtPr>
          <w:tag w:val="goog_rdk_19"/>
          <w:id w:val="1017470169"/>
        </w:sdtPr>
        <w:sdtEndPr/>
        <w:sdtContent>
          <w:r w:rsidRPr="00E26448">
            <w:t xml:space="preserve"> денежных средств</w:t>
          </w:r>
        </w:sdtContent>
      </w:sdt>
      <w:r w:rsidRPr="00E26448">
        <w:t xml:space="preserve"> победител</w:t>
      </w:r>
      <w:sdt>
        <w:sdtPr>
          <w:tag w:val="goog_rdk_21"/>
          <w:id w:val="-1486026544"/>
        </w:sdtPr>
        <w:sdtEndPr/>
        <w:sdtContent>
          <w:r w:rsidRPr="00E26448">
            <w:t>ям</w:t>
          </w:r>
        </w:sdtContent>
      </w:sdt>
      <w:r w:rsidRPr="00E26448">
        <w:t xml:space="preserve"> Конкурса возникают только на основании договоров пожертвования с </w:t>
      </w:r>
      <w:r>
        <w:t xml:space="preserve">победителями Конкурса. </w:t>
      </w:r>
    </w:p>
    <w:p w14:paraId="00000090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line="229" w:lineRule="auto"/>
        <w:ind w:left="566" w:right="104"/>
        <w:jc w:val="both"/>
      </w:pPr>
      <w:r>
        <w:t xml:space="preserve">Если сведения, указанные в заявке победителя Конкурса, являются недостоверными или если эти сведения изменились, но в адрес Фонда в течение одного месяца со дня внесения изменений не поступило соответствующее сообщение в письменной форме, Фонд вправе не заключать договор с победителем Конкурса или расторгнуть заключенный договор в одностороннем порядке. </w:t>
      </w:r>
    </w:p>
    <w:p w14:paraId="00000091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6" w:line="230" w:lineRule="auto"/>
        <w:ind w:left="566" w:right="172"/>
        <w:jc w:val="both"/>
      </w:pPr>
      <w:r>
        <w:t xml:space="preserve">Фонд самостоятельно и/или при содействии Проектной команды в процессе посещения мероприятий, проводимых в рамках проектов, осуществляет мониторинг и оценку хода реализации проектов, анализ публикаций и иных материалов. </w:t>
      </w:r>
    </w:p>
    <w:p w14:paraId="00000092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line="230" w:lineRule="auto"/>
        <w:ind w:left="566" w:right="102"/>
        <w:jc w:val="both"/>
      </w:pPr>
      <w:r>
        <w:t xml:space="preserve">Мониторинг проводится с целью выявления достигнутых результатов, определения элементов </w:t>
      </w:r>
      <w:r>
        <w:lastRenderedPageBreak/>
        <w:t xml:space="preserve">проектов, требующих изменения или улучшения, сравнения текущего состояния проекта с запланированным. </w:t>
      </w:r>
    </w:p>
    <w:p w14:paraId="00000093" w14:textId="29BFAA7C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line="240" w:lineRule="auto"/>
        <w:ind w:left="566" w:right="104"/>
        <w:jc w:val="both"/>
      </w:pPr>
      <w:r>
        <w:t xml:space="preserve">Победители Конкурса, получившие </w:t>
      </w:r>
      <w:sdt>
        <w:sdtPr>
          <w:tag w:val="goog_rdk_23"/>
          <w:id w:val="-1522284549"/>
        </w:sdtPr>
        <w:sdtEndPr/>
        <w:sdtContent>
          <w:r>
            <w:t>пожертвование</w:t>
          </w:r>
        </w:sdtContent>
      </w:sdt>
      <w:r>
        <w:t xml:space="preserve">, представляют в Фонд содержательный отчет реализации проекта, а также финансовый отчет о расходовании денежных средств. </w:t>
      </w:r>
    </w:p>
    <w:p w14:paraId="00000094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line="230" w:lineRule="auto"/>
        <w:ind w:left="566" w:right="179"/>
        <w:jc w:val="both"/>
      </w:pPr>
      <w:r>
        <w:t xml:space="preserve">Отчеты представляются Фонду в сроки, определенные соответствующим договором. </w:t>
      </w:r>
    </w:p>
    <w:p w14:paraId="00000095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line="230" w:lineRule="auto"/>
        <w:ind w:left="566" w:right="180"/>
        <w:jc w:val="both"/>
        <w:rPr>
          <w:highlight w:val="yellow"/>
        </w:rPr>
      </w:pPr>
      <w:r>
        <w:t>С целью информирования общественности Фонд вправе без согласования с Победителем Конкурса осуществлять публикации и выпускать иные информационные материалы o ходе реализации проекта, а также о результатах проекта.</w:t>
      </w:r>
    </w:p>
    <w:p w14:paraId="00000096" w14:textId="58DDA041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line="230" w:lineRule="auto"/>
        <w:ind w:left="566" w:right="104"/>
        <w:jc w:val="both"/>
      </w:pPr>
      <w:r>
        <w:t xml:space="preserve">Победители Конкурса, получившие </w:t>
      </w:r>
      <w:sdt>
        <w:sdtPr>
          <w:tag w:val="goog_rdk_25"/>
          <w:id w:val="-356596554"/>
        </w:sdtPr>
        <w:sdtEndPr/>
        <w:sdtContent>
          <w:r>
            <w:t>пожертвование</w:t>
          </w:r>
        </w:sdtContent>
      </w:sdt>
      <w:r>
        <w:t xml:space="preserve">, предоставляют право Фонду, Компании и Проектной команде на использование любой информации о результатах Конкурса, включая финансовые условия. </w:t>
      </w:r>
    </w:p>
    <w:sdt>
      <w:sdtPr>
        <w:tag w:val="goog_rdk_29"/>
        <w:id w:val="124541141"/>
      </w:sdtPr>
      <w:sdtEndPr/>
      <w:sdtContent>
        <w:p w14:paraId="00000097" w14:textId="77777777" w:rsidR="00502E75" w:rsidRDefault="009A2B1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255" w:line="230" w:lineRule="auto"/>
            <w:ind w:left="566" w:right="99"/>
            <w:jc w:val="both"/>
          </w:pPr>
          <w:r>
            <w:t xml:space="preserve">Победители Конкурса обязуются размещать логотипы и фразу «При поддержке Благотворительной программы «Музеи Русского Севера» Фонда «Доброта Севера», реализуемой при поддержке компании «Северсталь», </w:t>
          </w:r>
          <w:sdt>
            <w:sdtPr>
              <w:tag w:val="goog_rdk_27"/>
              <w:id w:val="68174640"/>
            </w:sdtPr>
            <w:sdtEndPr/>
            <w:sdtContent/>
          </w:sdt>
          <w:r>
            <w:t>а также с упоминанием партнеров</w:t>
          </w:r>
          <w:sdt>
            <w:sdtPr>
              <w:tag w:val="goog_rdk_28"/>
              <w:id w:val="-1550991983"/>
            </w:sdtPr>
            <w:sdtEndPr/>
            <w:sdtContent>
              <w:r>
                <w:t xml:space="preserve"> «Силовые машины», «Лента», «Свеза», холдинга «Кордиант»</w:t>
              </w:r>
            </w:sdtContent>
          </w:sdt>
          <w:r>
            <w:t xml:space="preserve">, на всех материалах, создаваемых при реализации проекта. </w:t>
          </w:r>
        </w:p>
      </w:sdtContent>
    </w:sdt>
    <w:p w14:paraId="00000098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0" w:line="240" w:lineRule="auto"/>
        <w:ind w:left="566" w:right="123"/>
        <w:jc w:val="center"/>
        <w:rPr>
          <w:b/>
          <w:bCs/>
          <w:color w:val="646EAF"/>
        </w:rPr>
      </w:pPr>
      <w:r>
        <w:rPr>
          <w:b/>
          <w:bCs/>
          <w:color w:val="646EAF"/>
        </w:rPr>
        <w:t xml:space="preserve">9. Дополнительная поддержка победителей Конкурса </w:t>
      </w:r>
    </w:p>
    <w:p w14:paraId="00000099" w14:textId="77777777" w:rsidR="00502E75" w:rsidRDefault="009A2B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28" w:lineRule="auto"/>
        <w:ind w:left="566" w:right="98"/>
        <w:jc w:val="both"/>
      </w:pPr>
      <w:r>
        <w:t>Победители Конкурса получают экспертное сопровождение проектов и иную дополнительную поддержку на условиях, определяемых   локально нормативными актами Фонда.</w:t>
      </w:r>
    </w:p>
    <w:sectPr w:rsidR="00502E75">
      <w:footerReference w:type="default" r:id="rId10"/>
      <w:pgSz w:w="11900" w:h="16820"/>
      <w:pgMar w:top="1275" w:right="843" w:bottom="1276" w:left="602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28505" w14:textId="77777777" w:rsidR="006F3053" w:rsidRDefault="006F3053">
      <w:pPr>
        <w:spacing w:line="240" w:lineRule="auto"/>
      </w:pPr>
      <w:r>
        <w:separator/>
      </w:r>
    </w:p>
  </w:endnote>
  <w:endnote w:type="continuationSeparator" w:id="0">
    <w:p w14:paraId="75DC0F3E" w14:textId="77777777" w:rsidR="006F3053" w:rsidRDefault="006F30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embedRegular r:id="rId1" w:fontKey="{EFA3FFB7-8DED-4010-9C35-3524E9ED1BDE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2" w:fontKey="{EE919AB8-2C47-49AA-B3FE-11DE48F59DE0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69FFE313-20E3-42AF-B273-19CD25B7A5FC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4" w:fontKey="{EC3C2872-B990-494C-9AF7-149A55B09840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203F54AD-A4D5-40ED-9783-B60FEFDF7E7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9A" w14:textId="77777777" w:rsidR="00502E75" w:rsidRDefault="009A2B1C">
    <w:pPr>
      <w:spacing w:line="240" w:lineRule="auto"/>
      <w:rPr>
        <w:rFonts w:ascii="Calibri" w:eastAsia="Calibri" w:hAnsi="Calibri" w:cs="Calibri"/>
        <w:sz w:val="24"/>
        <w:szCs w:val="24"/>
      </w:rPr>
    </w:pPr>
    <w:r>
      <w:rPr>
        <w:noProof/>
        <w:lang w:val="ru-RU"/>
      </w:rPr>
      <w:drawing>
        <wp:anchor distT="19050" distB="19050" distL="19050" distR="19050" simplePos="0" relativeHeight="251658240" behindDoc="0" locked="0" layoutInCell="1" hidden="0" allowOverlap="1">
          <wp:simplePos x="0" y="0"/>
          <wp:positionH relativeFrom="column">
            <wp:posOffset>1</wp:posOffset>
          </wp:positionH>
          <wp:positionV relativeFrom="paragraph">
            <wp:posOffset>152400</wp:posOffset>
          </wp:positionV>
          <wp:extent cx="724293" cy="724293"/>
          <wp:effectExtent l="0" t="0" r="0" b="0"/>
          <wp:wrapNone/>
          <wp:docPr id="4" name="image3.png" descr="logo_orange_museum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logo_orange_museum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4293" cy="7242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09B" w14:textId="77777777" w:rsidR="00502E75" w:rsidRDefault="009A2B1C">
    <w:pPr>
      <w:spacing w:line="240" w:lineRule="auto"/>
      <w:ind w:left="708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sz w:val="24"/>
        <w:szCs w:val="24"/>
      </w:rPr>
      <w:t xml:space="preserve">   </w:t>
    </w:r>
  </w:p>
  <w:p w14:paraId="0000009C" w14:textId="77777777" w:rsidR="00502E75" w:rsidRDefault="009A2B1C">
    <w:pPr>
      <w:spacing w:line="240" w:lineRule="auto"/>
      <w:ind w:left="708"/>
      <w:rPr>
        <w:color w:val="646EAF"/>
      </w:rPr>
    </w:pPr>
    <w:r>
      <w:rPr>
        <w:rFonts w:ascii="Calibri" w:eastAsia="Calibri" w:hAnsi="Calibri" w:cs="Calibri"/>
        <w:sz w:val="24"/>
        <w:szCs w:val="24"/>
      </w:rPr>
      <w:t xml:space="preserve">  \         </w:t>
    </w:r>
    <w:hyperlink r:id="rId2">
      <w:r>
        <w:rPr>
          <w:color w:val="646EAF"/>
          <w:highlight w:val="white"/>
        </w:rPr>
        <w:t>programma@museums.severstal.com</w:t>
      </w:r>
    </w:hyperlink>
  </w:p>
  <w:p w14:paraId="0000009D" w14:textId="77777777" w:rsidR="00502E75" w:rsidRDefault="009A2B1C">
    <w:pPr>
      <w:widowControl w:val="0"/>
      <w:tabs>
        <w:tab w:val="center" w:pos="4677"/>
        <w:tab w:val="right" w:pos="9355"/>
      </w:tabs>
      <w:spacing w:line="240" w:lineRule="auto"/>
    </w:pPr>
    <w:r>
      <w:rPr>
        <w:color w:val="646EAF"/>
      </w:rPr>
      <w:t xml:space="preserve">                       https://dobrotasevera.org/programs/muzei-russkogo-severa/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06A71" w14:textId="77777777" w:rsidR="006F3053" w:rsidRDefault="006F3053">
      <w:pPr>
        <w:spacing w:line="240" w:lineRule="auto"/>
      </w:pPr>
      <w:r>
        <w:separator/>
      </w:r>
    </w:p>
  </w:footnote>
  <w:footnote w:type="continuationSeparator" w:id="0">
    <w:p w14:paraId="1164A56E" w14:textId="77777777" w:rsidR="006F3053" w:rsidRDefault="006F305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926D5"/>
    <w:multiLevelType w:val="multilevel"/>
    <w:tmpl w:val="C6DEA7EE"/>
    <w:lvl w:ilvl="0">
      <w:start w:val="1"/>
      <w:numFmt w:val="bullet"/>
      <w:lvlText w:val="●"/>
      <w:lvlJc w:val="left"/>
      <w:pPr>
        <w:ind w:left="720" w:hanging="360"/>
      </w:pPr>
      <w:rPr>
        <w:color w:val="646EA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08E52C9"/>
    <w:multiLevelType w:val="multilevel"/>
    <w:tmpl w:val="501A85E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646EA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DE338DE"/>
    <w:multiLevelType w:val="multilevel"/>
    <w:tmpl w:val="9C1EA178"/>
    <w:lvl w:ilvl="0">
      <w:start w:val="1"/>
      <w:numFmt w:val="bullet"/>
      <w:lvlText w:val="●"/>
      <w:lvlJc w:val="left"/>
      <w:pPr>
        <w:ind w:left="720" w:hanging="360"/>
      </w:pPr>
      <w:rPr>
        <w:color w:val="646EA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284646D"/>
    <w:multiLevelType w:val="multilevel"/>
    <w:tmpl w:val="0764C970"/>
    <w:lvl w:ilvl="0">
      <w:start w:val="1"/>
      <w:numFmt w:val="bullet"/>
      <w:lvlText w:val="●"/>
      <w:lvlJc w:val="left"/>
      <w:pPr>
        <w:ind w:left="720" w:hanging="360"/>
      </w:pPr>
      <w:rPr>
        <w:color w:val="646EA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9560439"/>
    <w:multiLevelType w:val="multilevel"/>
    <w:tmpl w:val="6D8E536C"/>
    <w:lvl w:ilvl="0">
      <w:start w:val="1"/>
      <w:numFmt w:val="bullet"/>
      <w:lvlText w:val="●"/>
      <w:lvlJc w:val="left"/>
      <w:pPr>
        <w:ind w:left="720" w:hanging="360"/>
      </w:pPr>
      <w:rPr>
        <w:color w:val="646EA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B982774"/>
    <w:multiLevelType w:val="multilevel"/>
    <w:tmpl w:val="B01223E8"/>
    <w:lvl w:ilvl="0">
      <w:start w:val="1"/>
      <w:numFmt w:val="bullet"/>
      <w:lvlText w:val="●"/>
      <w:lvlJc w:val="left"/>
      <w:pPr>
        <w:ind w:left="720" w:hanging="360"/>
      </w:pPr>
      <w:rPr>
        <w:color w:val="646EA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CFC1244"/>
    <w:multiLevelType w:val="multilevel"/>
    <w:tmpl w:val="B8FADB8A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color w:val="646EAF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F7343DE"/>
    <w:multiLevelType w:val="multilevel"/>
    <w:tmpl w:val="C5B4367A"/>
    <w:lvl w:ilvl="0">
      <w:start w:val="1"/>
      <w:numFmt w:val="bullet"/>
      <w:lvlText w:val="●"/>
      <w:lvlJc w:val="left"/>
      <w:pPr>
        <w:ind w:left="720" w:hanging="360"/>
      </w:pPr>
      <w:rPr>
        <w:color w:val="646EA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F8F300E"/>
    <w:multiLevelType w:val="multilevel"/>
    <w:tmpl w:val="7D467196"/>
    <w:lvl w:ilvl="0">
      <w:start w:val="1"/>
      <w:numFmt w:val="bullet"/>
      <w:lvlText w:val="●"/>
      <w:lvlJc w:val="left"/>
      <w:pPr>
        <w:ind w:left="720" w:hanging="360"/>
      </w:pPr>
      <w:rPr>
        <w:color w:val="646EA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0A13E38"/>
    <w:multiLevelType w:val="multilevel"/>
    <w:tmpl w:val="63425326"/>
    <w:lvl w:ilvl="0">
      <w:start w:val="1"/>
      <w:numFmt w:val="bullet"/>
      <w:lvlText w:val="●"/>
      <w:lvlJc w:val="left"/>
      <w:pPr>
        <w:ind w:left="1440" w:hanging="360"/>
      </w:pPr>
      <w:rPr>
        <w:color w:val="646EAF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6CD90B1A"/>
    <w:multiLevelType w:val="multilevel"/>
    <w:tmpl w:val="46AA3E0A"/>
    <w:lvl w:ilvl="0">
      <w:start w:val="1"/>
      <w:numFmt w:val="bullet"/>
      <w:lvlText w:val="●"/>
      <w:lvlJc w:val="left"/>
      <w:pPr>
        <w:ind w:left="720" w:hanging="360"/>
      </w:pPr>
      <w:rPr>
        <w:color w:val="646EA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2A62204"/>
    <w:multiLevelType w:val="multilevel"/>
    <w:tmpl w:val="6E120978"/>
    <w:lvl w:ilvl="0">
      <w:start w:val="1"/>
      <w:numFmt w:val="bullet"/>
      <w:lvlText w:val="●"/>
      <w:lvlJc w:val="left"/>
      <w:pPr>
        <w:ind w:left="408" w:hanging="408"/>
      </w:pPr>
      <w:rPr>
        <w:rFonts w:ascii="Noto Sans Symbols" w:eastAsia="Noto Sans Symbols" w:hAnsi="Noto Sans Symbols" w:cs="Noto Sans Symbols"/>
        <w:color w:val="646EAF"/>
      </w:rPr>
    </w:lvl>
    <w:lvl w:ilvl="1">
      <w:start w:val="1"/>
      <w:numFmt w:val="decimal"/>
      <w:lvlText w:val="●.%2."/>
      <w:lvlJc w:val="left"/>
      <w:pPr>
        <w:ind w:left="720" w:hanging="720"/>
      </w:pPr>
      <w:rPr>
        <w:b w:val="0"/>
        <w:bCs w:val="0"/>
      </w:rPr>
    </w:lvl>
    <w:lvl w:ilvl="2">
      <w:start w:val="1"/>
      <w:numFmt w:val="decimal"/>
      <w:lvlText w:val="●.%2.%3."/>
      <w:lvlJc w:val="left"/>
      <w:pPr>
        <w:ind w:left="720" w:hanging="720"/>
      </w:pPr>
    </w:lvl>
    <w:lvl w:ilvl="3">
      <w:start w:val="1"/>
      <w:numFmt w:val="decimal"/>
      <w:lvlText w:val="●.%2.%3.%4."/>
      <w:lvlJc w:val="left"/>
      <w:pPr>
        <w:ind w:left="1080" w:hanging="1080"/>
      </w:pPr>
    </w:lvl>
    <w:lvl w:ilvl="4">
      <w:start w:val="1"/>
      <w:numFmt w:val="decimal"/>
      <w:lvlText w:val="●.%2.%3.%4.%5."/>
      <w:lvlJc w:val="left"/>
      <w:pPr>
        <w:ind w:left="1080" w:hanging="1080"/>
      </w:pPr>
    </w:lvl>
    <w:lvl w:ilvl="5">
      <w:start w:val="1"/>
      <w:numFmt w:val="decimal"/>
      <w:lvlText w:val="●.%2.%3.%4.%5.%6."/>
      <w:lvlJc w:val="left"/>
      <w:pPr>
        <w:ind w:left="1440" w:hanging="1440"/>
      </w:pPr>
    </w:lvl>
    <w:lvl w:ilvl="6">
      <w:start w:val="1"/>
      <w:numFmt w:val="decimal"/>
      <w:lvlText w:val="●.%2.%3.%4.%5.%6.%7."/>
      <w:lvlJc w:val="left"/>
      <w:pPr>
        <w:ind w:left="1440" w:hanging="1440"/>
      </w:pPr>
    </w:lvl>
    <w:lvl w:ilvl="7">
      <w:start w:val="1"/>
      <w:numFmt w:val="decimal"/>
      <w:lvlText w:val="●.%2.%3.%4.%5.%6.%7.%8."/>
      <w:lvlJc w:val="left"/>
      <w:pPr>
        <w:ind w:left="1800" w:hanging="1800"/>
      </w:pPr>
    </w:lvl>
    <w:lvl w:ilvl="8">
      <w:start w:val="1"/>
      <w:numFmt w:val="decimal"/>
      <w:lvlText w:val="●.%2.%3.%4.%5.%6.%7.%8.%9."/>
      <w:lvlJc w:val="left"/>
      <w:pPr>
        <w:ind w:left="2160" w:hanging="2160"/>
      </w:pPr>
    </w:lvl>
  </w:abstractNum>
  <w:abstractNum w:abstractNumId="12" w15:restartNumberingAfterBreak="0">
    <w:nsid w:val="7E986C54"/>
    <w:multiLevelType w:val="multilevel"/>
    <w:tmpl w:val="48823080"/>
    <w:lvl w:ilvl="0">
      <w:start w:val="1"/>
      <w:numFmt w:val="bullet"/>
      <w:lvlText w:val="●"/>
      <w:lvlJc w:val="left"/>
      <w:pPr>
        <w:ind w:left="1854" w:hanging="360"/>
      </w:pPr>
      <w:rPr>
        <w:rFonts w:ascii="Noto Sans Symbols" w:eastAsia="Noto Sans Symbols" w:hAnsi="Noto Sans Symbols" w:cs="Noto Sans Symbols"/>
        <w:color w:val="646EAF"/>
      </w:rPr>
    </w:lvl>
    <w:lvl w:ilvl="1">
      <w:start w:val="1"/>
      <w:numFmt w:val="bullet"/>
      <w:lvlText w:val="o"/>
      <w:lvlJc w:val="left"/>
      <w:pPr>
        <w:ind w:left="257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9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1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73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5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7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9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14" w:hanging="360"/>
      </w:pPr>
      <w:rPr>
        <w:rFonts w:ascii="Noto Sans Symbols" w:eastAsia="Noto Sans Symbols" w:hAnsi="Noto Sans Symbols" w:cs="Noto Sans Symbols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0"/>
  </w:num>
  <w:num w:numId="5">
    <w:abstractNumId w:val="5"/>
  </w:num>
  <w:num w:numId="6">
    <w:abstractNumId w:val="8"/>
  </w:num>
  <w:num w:numId="7">
    <w:abstractNumId w:val="1"/>
  </w:num>
  <w:num w:numId="8">
    <w:abstractNumId w:val="6"/>
  </w:num>
  <w:num w:numId="9">
    <w:abstractNumId w:val="12"/>
  </w:num>
  <w:num w:numId="10">
    <w:abstractNumId w:val="11"/>
  </w:num>
  <w:num w:numId="11">
    <w:abstractNumId w:val="9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E75"/>
    <w:rsid w:val="00502E75"/>
    <w:rsid w:val="006F3053"/>
    <w:rsid w:val="009A2B1C"/>
    <w:rsid w:val="00A66141"/>
    <w:rsid w:val="00E2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763BF"/>
  <w15:docId w15:val="{5F9E9085-4404-4CFE-BB07-C52AD6DEE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character" w:customStyle="1" w:styleId="10">
    <w:name w:val="Обычный1"/>
  </w:style>
  <w:style w:type="character" w:customStyle="1" w:styleId="11">
    <w:name w:val="Неразрешенное упоминание1"/>
    <w:basedOn w:val="a0"/>
    <w:rPr>
      <w:color w:val="605E5C"/>
      <w:shd w:val="clear" w:color="auto" w:fill="E1DFDD"/>
    </w:rPr>
  </w:style>
  <w:style w:type="paragraph" w:styleId="20">
    <w:name w:val="toc 2"/>
    <w:link w:val="21"/>
    <w:uiPriority w:val="39"/>
    <w:pPr>
      <w:ind w:left="200"/>
    </w:pPr>
    <w:rPr>
      <w:rFonts w:ascii="XO Thames" w:hAnsi="XO Thames"/>
      <w:sz w:val="28"/>
    </w:rPr>
  </w:style>
  <w:style w:type="character" w:customStyle="1" w:styleId="21">
    <w:name w:val="Оглавление 2 Знак"/>
    <w:link w:val="20"/>
    <w:rPr>
      <w:rFonts w:ascii="XO Thames" w:hAnsi="XO Thames"/>
      <w:sz w:val="28"/>
    </w:rPr>
  </w:style>
  <w:style w:type="paragraph" w:styleId="a5">
    <w:name w:val="header"/>
    <w:link w:val="a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10"/>
    <w:link w:val="a5"/>
  </w:style>
  <w:style w:type="paragraph" w:styleId="a7">
    <w:name w:val="annotation text"/>
    <w:link w:val="a8"/>
    <w:pPr>
      <w:spacing w:line="240" w:lineRule="auto"/>
    </w:pPr>
    <w:rPr>
      <w:sz w:val="20"/>
    </w:rPr>
  </w:style>
  <w:style w:type="character" w:customStyle="1" w:styleId="a8">
    <w:name w:val="Текст примечания Знак"/>
    <w:basedOn w:val="10"/>
    <w:link w:val="a7"/>
    <w:rPr>
      <w:sz w:val="20"/>
    </w:rPr>
  </w:style>
  <w:style w:type="paragraph" w:styleId="40">
    <w:name w:val="toc 4"/>
    <w:link w:val="41"/>
    <w:uiPriority w:val="39"/>
    <w:pPr>
      <w:ind w:left="600"/>
    </w:pPr>
    <w:rPr>
      <w:rFonts w:ascii="XO Thames" w:hAnsi="XO Thames"/>
      <w:sz w:val="28"/>
    </w:rPr>
  </w:style>
  <w:style w:type="character" w:customStyle="1" w:styleId="41">
    <w:name w:val="Оглавление 4 Знак"/>
    <w:link w:val="40"/>
    <w:rPr>
      <w:rFonts w:ascii="XO Thames" w:hAnsi="XO Thames"/>
      <w:sz w:val="28"/>
    </w:rPr>
  </w:style>
  <w:style w:type="paragraph" w:styleId="60">
    <w:name w:val="toc 6"/>
    <w:link w:val="61"/>
    <w:uiPriority w:val="39"/>
    <w:pPr>
      <w:ind w:left="1000"/>
    </w:pPr>
    <w:rPr>
      <w:rFonts w:ascii="XO Thames" w:hAnsi="XO Thames"/>
      <w:sz w:val="28"/>
    </w:rPr>
  </w:style>
  <w:style w:type="character" w:customStyle="1" w:styleId="61">
    <w:name w:val="Оглавление 6 Знак"/>
    <w:link w:val="60"/>
    <w:rPr>
      <w:rFonts w:ascii="XO Thames" w:hAnsi="XO Thames"/>
      <w:sz w:val="28"/>
    </w:rPr>
  </w:style>
  <w:style w:type="paragraph" w:styleId="7">
    <w:name w:val="toc 7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Endnote">
    <w:name w:val="Endnote"/>
    <w:rPr>
      <w:rFonts w:ascii="XO Thames" w:hAnsi="XO Thames"/>
      <w:sz w:val="22"/>
    </w:rPr>
  </w:style>
  <w:style w:type="character" w:customStyle="1" w:styleId="30">
    <w:name w:val="Заголовок 3 Знак"/>
    <w:basedOn w:val="10"/>
    <w:rPr>
      <w:b/>
      <w:sz w:val="28"/>
    </w:rPr>
  </w:style>
  <w:style w:type="paragraph" w:customStyle="1" w:styleId="a9">
    <w:link w:val="aa"/>
    <w:semiHidden/>
    <w:unhideWhenUsed/>
    <w:pPr>
      <w:spacing w:line="240" w:lineRule="auto"/>
    </w:pPr>
  </w:style>
  <w:style w:type="character" w:customStyle="1" w:styleId="aa">
    <w:link w:val="a9"/>
    <w:semiHidden/>
    <w:unhideWhenUsed/>
  </w:style>
  <w:style w:type="paragraph" w:customStyle="1" w:styleId="12">
    <w:name w:val="Знак примечания1"/>
    <w:basedOn w:val="13"/>
    <w:link w:val="ab"/>
    <w:rPr>
      <w:sz w:val="16"/>
    </w:rPr>
  </w:style>
  <w:style w:type="character" w:styleId="ab">
    <w:name w:val="annotation reference"/>
    <w:basedOn w:val="a0"/>
    <w:link w:val="12"/>
    <w:rPr>
      <w:sz w:val="16"/>
    </w:rPr>
  </w:style>
  <w:style w:type="character" w:customStyle="1" w:styleId="Normal0">
    <w:name w:val="Normal0"/>
    <w:rPr>
      <w:rFonts w:ascii="Times New Roman" w:hAnsi="Times New Roman"/>
      <w:sz w:val="24"/>
    </w:rPr>
  </w:style>
  <w:style w:type="character" w:customStyle="1" w:styleId="14">
    <w:name w:val="Основной текст1"/>
    <w:basedOn w:val="10"/>
  </w:style>
  <w:style w:type="paragraph" w:styleId="31">
    <w:name w:val="toc 3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c">
    <w:name w:val="List Paragraph"/>
    <w:link w:val="ad"/>
    <w:pPr>
      <w:ind w:left="720"/>
      <w:contextualSpacing/>
    </w:pPr>
  </w:style>
  <w:style w:type="character" w:customStyle="1" w:styleId="ad">
    <w:name w:val="Абзац списка Знак"/>
    <w:basedOn w:val="10"/>
    <w:link w:val="ac"/>
  </w:style>
  <w:style w:type="character" w:customStyle="1" w:styleId="50">
    <w:name w:val="Заголовок 5 Знак"/>
    <w:basedOn w:val="10"/>
    <w:rPr>
      <w:b/>
    </w:rPr>
  </w:style>
  <w:style w:type="paragraph" w:styleId="ae">
    <w:name w:val="annotation subject"/>
    <w:basedOn w:val="a7"/>
    <w:next w:val="a7"/>
    <w:link w:val="af"/>
    <w:rPr>
      <w:b/>
    </w:rPr>
  </w:style>
  <w:style w:type="character" w:customStyle="1" w:styleId="af">
    <w:name w:val="Тема примечания Знак"/>
    <w:basedOn w:val="a8"/>
    <w:link w:val="ae"/>
    <w:rPr>
      <w:b/>
      <w:sz w:val="20"/>
    </w:rPr>
  </w:style>
  <w:style w:type="character" w:customStyle="1" w:styleId="15">
    <w:name w:val="Заголовок 1 Знак"/>
    <w:basedOn w:val="10"/>
    <w:rPr>
      <w:b/>
      <w:sz w:val="48"/>
    </w:rPr>
  </w:style>
  <w:style w:type="paragraph" w:styleId="af0">
    <w:name w:val="Balloon Text"/>
    <w:link w:val="af1"/>
    <w:pPr>
      <w:spacing w:line="240" w:lineRule="auto"/>
    </w:pPr>
    <w:rPr>
      <w:rFonts w:ascii="Segoe UI" w:hAnsi="Segoe UI"/>
      <w:sz w:val="18"/>
    </w:rPr>
  </w:style>
  <w:style w:type="character" w:customStyle="1" w:styleId="af1">
    <w:name w:val="Текст выноски Знак"/>
    <w:basedOn w:val="10"/>
    <w:link w:val="af0"/>
    <w:rPr>
      <w:rFonts w:ascii="Segoe UI" w:hAnsi="Segoe UI"/>
      <w:sz w:val="18"/>
    </w:rPr>
  </w:style>
  <w:style w:type="paragraph" w:customStyle="1" w:styleId="16">
    <w:name w:val="Гиперссылка1"/>
    <w:basedOn w:val="13"/>
    <w:link w:val="af2"/>
    <w:rPr>
      <w:color w:val="0000FF" w:themeColor="hyperlink"/>
      <w:u w:val="single"/>
    </w:rPr>
  </w:style>
  <w:style w:type="character" w:styleId="af2">
    <w:name w:val="Hyperlink"/>
    <w:basedOn w:val="a0"/>
    <w:link w:val="16"/>
    <w:rPr>
      <w:color w:val="0000FF" w:themeColor="hyperlink"/>
      <w:u w:val="single"/>
    </w:rPr>
  </w:style>
  <w:style w:type="character" w:customStyle="1" w:styleId="Footnote">
    <w:name w:val="Footnote"/>
    <w:rPr>
      <w:rFonts w:ascii="XO Thames" w:hAnsi="XO Thames"/>
      <w:sz w:val="22"/>
    </w:rPr>
  </w:style>
  <w:style w:type="paragraph" w:styleId="af3">
    <w:name w:val="Body Text"/>
    <w:link w:val="af4"/>
    <w:pPr>
      <w:widowControl w:val="0"/>
      <w:spacing w:line="240" w:lineRule="auto"/>
      <w:ind w:left="512" w:firstLine="566"/>
    </w:pPr>
  </w:style>
  <w:style w:type="character" w:customStyle="1" w:styleId="af4">
    <w:name w:val="Основной текст Знак"/>
    <w:basedOn w:val="10"/>
    <w:link w:val="af3"/>
  </w:style>
  <w:style w:type="paragraph" w:styleId="17">
    <w:name w:val="toc 1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character" w:customStyle="1" w:styleId="HeaderandFooter">
    <w:name w:val="Header and Footer"/>
    <w:rPr>
      <w:rFonts w:ascii="XO Thames" w:hAnsi="XO Thames"/>
      <w:sz w:val="28"/>
    </w:rPr>
  </w:style>
  <w:style w:type="paragraph" w:styleId="9">
    <w:name w:val="toc 9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character" w:customStyle="1" w:styleId="af5">
    <w:name w:val="Подзаголовок Знак"/>
    <w:basedOn w:val="10"/>
    <w:rPr>
      <w:rFonts w:ascii="Georgia" w:hAnsi="Georgia"/>
      <w:i/>
      <w:color w:val="666666"/>
      <w:sz w:val="48"/>
    </w:rPr>
  </w:style>
  <w:style w:type="character" w:customStyle="1" w:styleId="WW8Num3z1">
    <w:name w:val="WW8Num3z1"/>
    <w:rPr>
      <w:b w:val="0"/>
    </w:rPr>
  </w:style>
  <w:style w:type="character" w:customStyle="1" w:styleId="af6">
    <w:name w:val="Заголовок Знак"/>
    <w:basedOn w:val="10"/>
    <w:rPr>
      <w:b/>
      <w:sz w:val="72"/>
    </w:rPr>
  </w:style>
  <w:style w:type="character" w:customStyle="1" w:styleId="42">
    <w:name w:val="Заголовок 4 Знак"/>
    <w:basedOn w:val="10"/>
    <w:rPr>
      <w:b/>
      <w:sz w:val="24"/>
    </w:rPr>
  </w:style>
  <w:style w:type="paragraph" w:styleId="af7">
    <w:name w:val="footer"/>
    <w:link w:val="af8"/>
    <w:pPr>
      <w:widowControl w:val="0"/>
      <w:tabs>
        <w:tab w:val="center" w:pos="4677"/>
        <w:tab w:val="right" w:pos="9355"/>
      </w:tabs>
      <w:spacing w:line="240" w:lineRule="auto"/>
    </w:pPr>
    <w:rPr>
      <w:rFonts w:ascii="Courier New" w:hAnsi="Courier New"/>
      <w:sz w:val="24"/>
    </w:rPr>
  </w:style>
  <w:style w:type="character" w:customStyle="1" w:styleId="af8">
    <w:name w:val="Нижний колонтитул Знак"/>
    <w:basedOn w:val="10"/>
    <w:link w:val="af7"/>
    <w:rPr>
      <w:rFonts w:ascii="Courier New" w:hAnsi="Courier New"/>
      <w:color w:val="000000"/>
      <w:sz w:val="24"/>
    </w:rPr>
  </w:style>
  <w:style w:type="paragraph" w:customStyle="1" w:styleId="13">
    <w:name w:val="Основной шрифт абзаца1"/>
  </w:style>
  <w:style w:type="character" w:customStyle="1" w:styleId="22">
    <w:name w:val="Заголовок 2 Знак"/>
    <w:basedOn w:val="10"/>
    <w:rPr>
      <w:b/>
      <w:sz w:val="36"/>
    </w:rPr>
  </w:style>
  <w:style w:type="character" w:customStyle="1" w:styleId="62">
    <w:name w:val="Заголовок 6 Знак"/>
    <w:basedOn w:val="10"/>
    <w:rPr>
      <w:b/>
      <w:sz w:val="20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3">
    <w:name w:val="Неразрешенное упоминание2"/>
    <w:basedOn w:val="a0"/>
    <w:uiPriority w:val="99"/>
    <w:semiHidden/>
    <w:unhideWhenUsed/>
    <w:rsid w:val="001A1438"/>
    <w:rPr>
      <w:color w:val="605E5C"/>
      <w:shd w:val="clear" w:color="auto" w:fill="E1DFDD"/>
    </w:rPr>
  </w:style>
  <w:style w:type="paragraph" w:styleId="af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afa">
    <w:name w:val="Unresolved Mention"/>
    <w:basedOn w:val="a0"/>
    <w:uiPriority w:val="99"/>
    <w:semiHidden/>
    <w:unhideWhenUsed/>
    <w:rsid w:val="00E264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3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gramma@museums.severstal.com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pfkqcRnsCXIjbtcU0gnu3sYMsQ==">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2522</Words>
  <Characters>14376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 Ларин</cp:lastModifiedBy>
  <cp:revision>3</cp:revision>
  <dcterms:created xsi:type="dcterms:W3CDTF">2026-08-24T09:51:00Z</dcterms:created>
  <dcterms:modified xsi:type="dcterms:W3CDTF">2026-08-24T10:48:00Z</dcterms:modified>
</cp:coreProperties>
</file>